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6D" w:rsidRDefault="00920BA5" w:rsidP="00920BA5">
      <w:pPr>
        <w:pStyle w:val="Appendix"/>
        <w:sectPr w:rsidR="0002156D" w:rsidSect="00920BA5">
          <w:headerReference w:type="default" r:id="rId8"/>
          <w:type w:val="evenPage"/>
          <w:pgSz w:w="15840" w:h="12240" w:orient="landscape" w:code="1"/>
          <w:pgMar w:top="1440" w:right="1440" w:bottom="1440" w:left="1440" w:header="1728" w:footer="144" w:gutter="0"/>
          <w:cols w:space="720"/>
          <w:docGrid w:linePitch="360"/>
        </w:sectPr>
      </w:pPr>
      <w:bookmarkStart w:id="0" w:name="_Toc114904224"/>
      <w:bookmarkStart w:id="1" w:name="_Toc114918809"/>
      <w:r w:rsidRPr="0002156D">
        <w:rPr>
          <w:bCs/>
        </w:rPr>
        <w:t xml:space="preserve">12. </w:t>
      </w:r>
      <w:bookmarkEnd w:id="0"/>
      <w:r w:rsidR="0002156D" w:rsidRPr="0002156D">
        <w:t xml:space="preserve">Appendix: Available data for socioeconomic </w:t>
      </w:r>
      <w:r w:rsidR="0002156D">
        <w:t>iss</w:t>
      </w:r>
      <w:r w:rsidR="0002156D" w:rsidRPr="0002156D">
        <w:t>ues in the TRW</w:t>
      </w:r>
      <w:bookmarkEnd w:id="1"/>
    </w:p>
    <w:p w:rsidR="00920BA5" w:rsidRPr="0002156D" w:rsidRDefault="00920BA5" w:rsidP="00920BA5">
      <w:pPr>
        <w:spacing w:line="240" w:lineRule="auto"/>
        <w:rPr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7380"/>
      </w:tblGrid>
      <w:tr w:rsidR="003F7194" w:rsidRPr="003F719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F7194" w:rsidRPr="0002156D" w:rsidRDefault="003F7194" w:rsidP="0002156D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b/>
                <w:bCs/>
              </w:rPr>
            </w:pPr>
            <w:r w:rsidRPr="0002156D">
              <w:rPr>
                <w:b/>
                <w:bCs/>
              </w:rPr>
              <w:t xml:space="preserve">Data for </w:t>
            </w:r>
            <w:r w:rsidR="0002156D" w:rsidRPr="0002156D">
              <w:rPr>
                <w:b/>
              </w:rPr>
              <w:t xml:space="preserve">socioeconomic issues </w:t>
            </w:r>
            <w:r w:rsidRPr="0002156D">
              <w:rPr>
                <w:b/>
                <w:bCs/>
              </w:rPr>
              <w:t>in the United States</w:t>
            </w:r>
          </w:p>
        </w:tc>
        <w:tc>
          <w:tcPr>
            <w:tcW w:w="7380" w:type="dxa"/>
          </w:tcPr>
          <w:p w:rsidR="003F7194" w:rsidRPr="0002156D" w:rsidRDefault="003F7194" w:rsidP="0002156D">
            <w:pPr>
              <w:spacing w:line="240" w:lineRule="auto"/>
              <w:rPr>
                <w:b/>
                <w:bCs/>
              </w:rPr>
            </w:pPr>
            <w:r w:rsidRPr="0002156D">
              <w:rPr>
                <w:b/>
                <w:bCs/>
              </w:rPr>
              <w:t xml:space="preserve">Data for </w:t>
            </w:r>
            <w:r w:rsidR="0002156D" w:rsidRPr="0002156D">
              <w:rPr>
                <w:b/>
              </w:rPr>
              <w:t xml:space="preserve">socioeconomic issues </w:t>
            </w:r>
            <w:r w:rsidRPr="0002156D">
              <w:rPr>
                <w:b/>
                <w:bCs/>
              </w:rPr>
              <w:t>in Mexico</w:t>
            </w:r>
          </w:p>
        </w:tc>
      </w:tr>
      <w:tr w:rsidR="00920BA5" w:rsidRPr="005364D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5364D7">
              <w:rPr>
                <w:sz w:val="20"/>
                <w:szCs w:val="20"/>
              </w:rPr>
              <w:t xml:space="preserve">erber, James. 1993. “Cycle and Trends in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.” In San Diego-Tijuana in Transition: A Regional Analysis, N.C. Clement and E.Z. </w:t>
            </w:r>
            <w:proofErr w:type="spellStart"/>
            <w:r w:rsidRPr="005364D7">
              <w:rPr>
                <w:sz w:val="20"/>
                <w:szCs w:val="20"/>
              </w:rPr>
              <w:t>Miramontes</w:t>
            </w:r>
            <w:proofErr w:type="spellEnd"/>
            <w:r w:rsidRPr="005364D7">
              <w:rPr>
                <w:sz w:val="20"/>
                <w:szCs w:val="20"/>
              </w:rPr>
              <w:t xml:space="preserve">, eds.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Institute for Regional Studies of the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Californias</w:t>
                </w:r>
              </w:smartTag>
            </w:smartTag>
            <w:proofErr w:type="spellEnd"/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pStyle w:val="body"/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Style w:val="body"/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Higuera, Salvador Mendoza, Alejandro Valenzuela, and Eduardo Zepeda Miramontes. </w:t>
            </w:r>
            <w:r w:rsidRPr="005364D7">
              <w:rPr>
                <w:sz w:val="20"/>
                <w:szCs w:val="20"/>
              </w:rPr>
              <w:t>1993. “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Short-Term Growth or Long-Term Development.” In San Diego-Tijuana in Transition: A Regional Analysis, N.C. Clement and E.Z. </w:t>
            </w:r>
            <w:proofErr w:type="spellStart"/>
            <w:r w:rsidRPr="005364D7">
              <w:rPr>
                <w:sz w:val="20"/>
                <w:szCs w:val="20"/>
              </w:rPr>
              <w:t>Miramontes</w:t>
            </w:r>
            <w:proofErr w:type="spellEnd"/>
            <w:r w:rsidRPr="005364D7">
              <w:rPr>
                <w:sz w:val="20"/>
                <w:szCs w:val="20"/>
              </w:rPr>
              <w:t xml:space="preserve">, eds.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Institute for Regional Studies of the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Californias</w:t>
                </w:r>
              </w:smartTag>
            </w:smartTag>
            <w:proofErr w:type="spellEnd"/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pStyle w:val="body"/>
              <w:pBdr>
                <w:top w:val="single" w:sz="6" w:space="1" w:color="auto"/>
                <w:bottom w:val="single" w:sz="6" w:space="1" w:color="auto"/>
              </w:pBdr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Style w:val="body"/>
              <w:pBdr>
                <w:bottom w:val="single" w:sz="6" w:space="1" w:color="auto"/>
                <w:between w:val="single" w:sz="6" w:space="1" w:color="auto"/>
              </w:pBdr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Rey, Serge, Paul </w:t>
            </w:r>
            <w:proofErr w:type="spellStart"/>
            <w:r w:rsidRPr="005364D7">
              <w:rPr>
                <w:sz w:val="20"/>
                <w:szCs w:val="20"/>
              </w:rPr>
              <w:t>Ganster</w:t>
            </w:r>
            <w:proofErr w:type="spellEnd"/>
            <w:r w:rsidRPr="005364D7">
              <w:rPr>
                <w:sz w:val="20"/>
                <w:szCs w:val="20"/>
              </w:rPr>
              <w:t xml:space="preserve">, Gustavo del Castillo, Juan Alvarez, Ken </w:t>
            </w:r>
            <w:proofErr w:type="spellStart"/>
            <w:r w:rsidRPr="005364D7">
              <w:rPr>
                <w:sz w:val="20"/>
                <w:szCs w:val="20"/>
              </w:rPr>
              <w:t>Shellhammer</w:t>
            </w:r>
            <w:proofErr w:type="spellEnd"/>
            <w:r w:rsidRPr="005364D7">
              <w:rPr>
                <w:sz w:val="20"/>
                <w:szCs w:val="20"/>
              </w:rPr>
              <w:t xml:space="preserve">, Alan </w:t>
            </w:r>
            <w:proofErr w:type="spellStart"/>
            <w:r w:rsidRPr="005364D7">
              <w:rPr>
                <w:sz w:val="20"/>
                <w:szCs w:val="20"/>
              </w:rPr>
              <w:t>Sweedler</w:t>
            </w:r>
            <w:proofErr w:type="spellEnd"/>
            <w:r w:rsidRPr="005364D7">
              <w:rPr>
                <w:sz w:val="20"/>
                <w:szCs w:val="20"/>
              </w:rPr>
              <w:t xml:space="preserve">, and Norris Clement. </w:t>
            </w:r>
            <w:proofErr w:type="spellStart"/>
            <w:r w:rsidRPr="005364D7">
              <w:rPr>
                <w:sz w:val="20"/>
                <w:szCs w:val="20"/>
              </w:rPr>
              <w:t>n.d.</w:t>
            </w:r>
            <w:proofErr w:type="spellEnd"/>
            <w:r w:rsidRPr="005364D7">
              <w:rPr>
                <w:sz w:val="20"/>
                <w:szCs w:val="20"/>
              </w:rPr>
              <w:t xml:space="preserve"> “The San Diego-Tijuana Region.” Forthcoming in </w:t>
            </w:r>
            <w:r w:rsidRPr="005364D7">
              <w:rPr>
                <w:i/>
                <w:iCs/>
                <w:sz w:val="20"/>
                <w:szCs w:val="20"/>
              </w:rPr>
              <w:t xml:space="preserve">Integrating Cities and Regions: NAFTA and the </w:t>
            </w:r>
            <w:smartTag w:uri="urn:schemas-microsoft-com:office:smarttags" w:element="place">
              <w:r w:rsidRPr="005364D7">
                <w:rPr>
                  <w:i/>
                  <w:iCs/>
                  <w:sz w:val="20"/>
                  <w:szCs w:val="20"/>
                </w:rPr>
                <w:t>Caribbean</w:t>
              </w:r>
            </w:smartTag>
            <w:r w:rsidRPr="005364D7">
              <w:rPr>
                <w:i/>
                <w:iCs/>
                <w:sz w:val="20"/>
                <w:szCs w:val="20"/>
              </w:rPr>
              <w:t xml:space="preserve"> Face Globalization,</w:t>
            </w:r>
            <w:r w:rsidRPr="005364D7">
              <w:rPr>
                <w:sz w:val="20"/>
                <w:szCs w:val="20"/>
              </w:rPr>
              <w:t xml:space="preserve"> J.W. </w:t>
            </w:r>
            <w:proofErr w:type="spellStart"/>
            <w:r w:rsidRPr="005364D7">
              <w:rPr>
                <w:sz w:val="20"/>
                <w:szCs w:val="20"/>
              </w:rPr>
              <w:t>Wilkie</w:t>
            </w:r>
            <w:proofErr w:type="spellEnd"/>
            <w:r w:rsidRPr="005364D7">
              <w:rPr>
                <w:sz w:val="20"/>
                <w:szCs w:val="20"/>
              </w:rPr>
              <w:t xml:space="preserve"> and C.E. Smith, eds.</w:t>
            </w:r>
          </w:p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Association of Governments. 1998. </w:t>
            </w:r>
            <w:r w:rsidRPr="005364D7">
              <w:rPr>
                <w:i/>
                <w:iCs/>
                <w:sz w:val="20"/>
                <w:szCs w:val="20"/>
              </w:rPr>
              <w:t xml:space="preserve">Evaluating Economic Prosperity in the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i/>
                    <w:iCs/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i/>
                <w:iCs/>
                <w:sz w:val="20"/>
                <w:szCs w:val="20"/>
              </w:rPr>
              <w:t xml:space="preserve"> Region: </w:t>
            </w:r>
            <w:r w:rsidRPr="005364D7">
              <w:rPr>
                <w:i/>
                <w:iCs/>
                <w:sz w:val="20"/>
                <w:szCs w:val="20"/>
              </w:rPr>
              <w:tab/>
              <w:t>1998 Update.</w:t>
            </w:r>
            <w:r w:rsidRPr="005364D7">
              <w:rPr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Association of Governments.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i/>
                <w:iCs/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EPA Border XXI. 1998. </w:t>
            </w:r>
            <w:r w:rsidRPr="005364D7">
              <w:rPr>
                <w:i/>
                <w:iCs/>
                <w:sz w:val="20"/>
                <w:szCs w:val="20"/>
              </w:rPr>
              <w:t>Border XXI Program Framework Document</w:t>
            </w:r>
            <w:r w:rsidRPr="005364D7">
              <w:rPr>
                <w:sz w:val="20"/>
                <w:szCs w:val="20"/>
              </w:rPr>
              <w:t>. U.S./Mexico Border XXI/</w:t>
            </w:r>
            <w:proofErr w:type="spellStart"/>
            <w:r w:rsidRPr="005364D7">
              <w:rPr>
                <w:sz w:val="20"/>
                <w:szCs w:val="20"/>
              </w:rPr>
              <w:t>Frontera</w:t>
            </w:r>
            <w:proofErr w:type="spellEnd"/>
            <w:r w:rsidRPr="005364D7">
              <w:rPr>
                <w:sz w:val="20"/>
                <w:szCs w:val="20"/>
              </w:rPr>
              <w:t xml:space="preserve"> XXI.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Association of Governments. 1998. </w:t>
            </w:r>
            <w:r w:rsidRPr="005364D7">
              <w:rPr>
                <w:i/>
                <w:iCs/>
                <w:sz w:val="20"/>
                <w:szCs w:val="20"/>
              </w:rPr>
              <w:t xml:space="preserve">Evaluating Economic </w:t>
            </w:r>
            <w:r w:rsidRPr="005364D7">
              <w:rPr>
                <w:i/>
                <w:iCs/>
                <w:sz w:val="20"/>
                <w:szCs w:val="20"/>
              </w:rPr>
              <w:lastRenderedPageBreak/>
              <w:t xml:space="preserve">Prosperity in the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i/>
                    <w:iCs/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i/>
                <w:iCs/>
                <w:sz w:val="20"/>
                <w:szCs w:val="20"/>
              </w:rPr>
              <w:t xml:space="preserve"> Region: 1998 Update</w:t>
            </w:r>
            <w:r w:rsidRPr="005364D7">
              <w:rPr>
                <w:sz w:val="20"/>
                <w:szCs w:val="20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Association of Governments.</w:t>
            </w:r>
          </w:p>
          <w:p w:rsidR="00920BA5" w:rsidRPr="005364D7" w:rsidRDefault="00920BA5" w:rsidP="00920BA5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Sparrow, Glen, and Marco </w:t>
            </w:r>
            <w:proofErr w:type="spellStart"/>
            <w:r w:rsidRPr="005364D7">
              <w:rPr>
                <w:sz w:val="20"/>
                <w:szCs w:val="20"/>
              </w:rPr>
              <w:t>Walshok</w:t>
            </w:r>
            <w:proofErr w:type="spellEnd"/>
            <w:r w:rsidRPr="005364D7">
              <w:rPr>
                <w:sz w:val="20"/>
                <w:szCs w:val="20"/>
              </w:rPr>
              <w:t xml:space="preserve">. 1993 “Local Government and Economic Development in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Past Trends and Present Dilemmas.” In </w:t>
            </w:r>
            <w:r w:rsidRPr="005364D7">
              <w:rPr>
                <w:i/>
                <w:iCs/>
                <w:sz w:val="20"/>
                <w:szCs w:val="20"/>
              </w:rPr>
              <w:t xml:space="preserve">San Diego-Tijuana in Transition: A Regional Analysis, </w:t>
            </w:r>
            <w:r w:rsidRPr="005364D7">
              <w:rPr>
                <w:sz w:val="20"/>
                <w:szCs w:val="20"/>
              </w:rPr>
              <w:t xml:space="preserve">N.C. Clement and E.Z. </w:t>
            </w:r>
            <w:proofErr w:type="spellStart"/>
            <w:r w:rsidRPr="005364D7">
              <w:rPr>
                <w:sz w:val="20"/>
                <w:szCs w:val="20"/>
              </w:rPr>
              <w:t>Miramontes</w:t>
            </w:r>
            <w:proofErr w:type="spellEnd"/>
            <w:r w:rsidRPr="005364D7">
              <w:rPr>
                <w:sz w:val="20"/>
                <w:szCs w:val="20"/>
              </w:rPr>
              <w:t xml:space="preserve">, eds.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Institute for Regional Studies of the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Californias</w:t>
                </w:r>
              </w:smartTag>
            </w:smartTag>
            <w:proofErr w:type="spellEnd"/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Trade Point USA. 1995. </w:t>
            </w:r>
            <w:r w:rsidRPr="005364D7">
              <w:rPr>
                <w:i/>
                <w:iCs/>
                <w:sz w:val="20"/>
                <w:szCs w:val="20"/>
              </w:rPr>
              <w:t>Fact Sheet on the U.S./Mexican Agreement on the Border Environment Cooperation Commission (BECC) and the North American Development Bank (NADBANK)</w:t>
            </w:r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Sanchez, Roberto. 1993. “Urban Growth and Environment of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.” In </w:t>
            </w:r>
            <w:r w:rsidRPr="005364D7">
              <w:rPr>
                <w:i/>
                <w:iCs/>
                <w:sz w:val="20"/>
                <w:szCs w:val="20"/>
              </w:rPr>
              <w:t xml:space="preserve">San Diego-Tijuana in Transition: A Regional Analysis, </w:t>
            </w:r>
            <w:r w:rsidRPr="005364D7">
              <w:rPr>
                <w:sz w:val="20"/>
                <w:szCs w:val="20"/>
              </w:rPr>
              <w:t xml:space="preserve">N.C. Clement and E.Z. </w:t>
            </w:r>
            <w:proofErr w:type="spellStart"/>
            <w:r w:rsidRPr="005364D7">
              <w:rPr>
                <w:sz w:val="20"/>
                <w:szCs w:val="20"/>
              </w:rPr>
              <w:t>Miramontes</w:t>
            </w:r>
            <w:proofErr w:type="spellEnd"/>
            <w:r w:rsidRPr="005364D7">
              <w:rPr>
                <w:sz w:val="20"/>
                <w:szCs w:val="20"/>
              </w:rPr>
              <w:t xml:space="preserve">, eds.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Institute for Regional Studies of the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Californias</w:t>
                </w:r>
              </w:smartTag>
            </w:smartTag>
            <w:proofErr w:type="spellEnd"/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Sparrow, Glen, and Marco </w:t>
            </w:r>
            <w:proofErr w:type="spellStart"/>
            <w:r w:rsidRPr="005364D7">
              <w:rPr>
                <w:sz w:val="20"/>
                <w:szCs w:val="20"/>
              </w:rPr>
              <w:t>Walshok</w:t>
            </w:r>
            <w:proofErr w:type="spellEnd"/>
            <w:r w:rsidRPr="005364D7">
              <w:rPr>
                <w:sz w:val="20"/>
                <w:szCs w:val="20"/>
              </w:rPr>
              <w:t xml:space="preserve">. 1993. “Local Government and Economic Development in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Past Trends and Present Dilemmas.” In </w:t>
            </w:r>
            <w:r w:rsidRPr="005364D7">
              <w:rPr>
                <w:i/>
                <w:iCs/>
                <w:sz w:val="20"/>
                <w:szCs w:val="20"/>
              </w:rPr>
              <w:t xml:space="preserve">San Diego-Tijuana in Transition: A Regional Analysis, </w:t>
            </w:r>
            <w:r w:rsidRPr="005364D7">
              <w:rPr>
                <w:sz w:val="20"/>
                <w:szCs w:val="20"/>
              </w:rPr>
              <w:t xml:space="preserve">N.C. Clement and E.Z. </w:t>
            </w:r>
            <w:proofErr w:type="spellStart"/>
            <w:r w:rsidRPr="005364D7">
              <w:rPr>
                <w:sz w:val="20"/>
                <w:szCs w:val="20"/>
              </w:rPr>
              <w:t>Miramontes</w:t>
            </w:r>
            <w:proofErr w:type="spellEnd"/>
            <w:r w:rsidRPr="005364D7">
              <w:rPr>
                <w:sz w:val="20"/>
                <w:szCs w:val="20"/>
              </w:rPr>
              <w:t xml:space="preserve">, eds.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Institute for Regional Studies of the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Californias</w:t>
                </w:r>
              </w:smartTag>
            </w:smartTag>
            <w:proofErr w:type="spellEnd"/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Stone, Katherine, and Dennis </w:t>
            </w:r>
            <w:proofErr w:type="spellStart"/>
            <w:r w:rsidRPr="005364D7">
              <w:rPr>
                <w:sz w:val="20"/>
                <w:szCs w:val="20"/>
              </w:rPr>
              <w:t>Martinek</w:t>
            </w:r>
            <w:proofErr w:type="spellEnd"/>
            <w:r w:rsidRPr="005364D7">
              <w:rPr>
                <w:sz w:val="20"/>
                <w:szCs w:val="20"/>
              </w:rPr>
              <w:t xml:space="preserve">. 1991. “The Economic Consequences of </w:t>
            </w:r>
            <w:r w:rsidRPr="005364D7">
              <w:rPr>
                <w:sz w:val="20"/>
                <w:szCs w:val="20"/>
              </w:rPr>
              <w:tab/>
              <w:t xml:space="preserve">Unmanaged Growth.”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i/>
                    <w:iCs/>
                    <w:sz w:val="20"/>
                    <w:szCs w:val="20"/>
                  </w:rPr>
                  <w:t>Western</w:t>
                </w:r>
              </w:smartTag>
              <w:r w:rsidRPr="005364D7">
                <w:rPr>
                  <w:i/>
                  <w:i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i/>
                    <w:iCs/>
                    <w:sz w:val="20"/>
                    <w:szCs w:val="20"/>
                  </w:rPr>
                  <w:t>City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(November).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Griffin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Ernest, Richard Wright, Chris Brown, Steve McElroy, and Ann </w:t>
            </w:r>
            <w:proofErr w:type="spellStart"/>
            <w:r w:rsidRPr="005364D7">
              <w:rPr>
                <w:sz w:val="20"/>
                <w:szCs w:val="20"/>
              </w:rPr>
              <w:t>Obee</w:t>
            </w:r>
            <w:proofErr w:type="spellEnd"/>
            <w:r w:rsidRPr="005364D7">
              <w:rPr>
                <w:sz w:val="20"/>
                <w:szCs w:val="20"/>
              </w:rPr>
              <w:t>. 1996</w:t>
            </w:r>
            <w:proofErr w:type="gramStart"/>
            <w:r w:rsidRPr="005364D7">
              <w:rPr>
                <w:sz w:val="20"/>
                <w:szCs w:val="20"/>
              </w:rPr>
              <w:t>.“</w:t>
            </w:r>
            <w:proofErr w:type="gramEnd"/>
            <w:r w:rsidRPr="005364D7">
              <w:rPr>
                <w:sz w:val="20"/>
                <w:szCs w:val="20"/>
              </w:rPr>
              <w:t xml:space="preserve">GIS Applications in the San Diego-Tijuana Interface.” Pp. 807–17 in </w:t>
            </w:r>
            <w:r w:rsidRPr="005364D7">
              <w:rPr>
                <w:i/>
                <w:iCs/>
                <w:sz w:val="20"/>
                <w:szCs w:val="20"/>
              </w:rPr>
              <w:t>Proceedings GIS/LIS ‘96</w:t>
            </w:r>
            <w:r w:rsidRPr="005364D7">
              <w:rPr>
                <w:sz w:val="20"/>
                <w:szCs w:val="20"/>
              </w:rPr>
              <w:t>. (November).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Katie </w:t>
            </w:r>
            <w:proofErr w:type="spellStart"/>
            <w:r w:rsidRPr="005364D7">
              <w:rPr>
                <w:sz w:val="20"/>
                <w:szCs w:val="20"/>
              </w:rPr>
              <w:t>Ries</w:t>
            </w:r>
            <w:proofErr w:type="spellEnd"/>
            <w:r w:rsidRPr="005364D7">
              <w:rPr>
                <w:sz w:val="20"/>
                <w:szCs w:val="20"/>
              </w:rPr>
              <w:t xml:space="preserve">, Richard Wright, and Alain </w:t>
            </w:r>
            <w:proofErr w:type="spellStart"/>
            <w:r w:rsidRPr="005364D7">
              <w:rPr>
                <w:sz w:val="20"/>
                <w:szCs w:val="20"/>
              </w:rPr>
              <w:t>Winckell</w:t>
            </w:r>
            <w:proofErr w:type="spellEnd"/>
            <w:r w:rsidRPr="005364D7">
              <w:rPr>
                <w:sz w:val="20"/>
                <w:szCs w:val="20"/>
              </w:rPr>
              <w:t xml:space="preserve"> 1995. “Identifying Priorities for a GIS for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River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Watershed: Applications for Land Use” P. 93 in </w:t>
            </w:r>
            <w:r w:rsidRPr="005364D7">
              <w:rPr>
                <w:i/>
                <w:iCs/>
                <w:sz w:val="20"/>
                <w:szCs w:val="20"/>
              </w:rPr>
              <w:t xml:space="preserve">Planning and Education, Workshop Proceedings.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Institute for Regional Studies of the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Californias</w:t>
                </w:r>
              </w:smartTag>
            </w:smartTag>
            <w:proofErr w:type="spellEnd"/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 xml:space="preserve">San </w:t>
                </w:r>
                <w:r w:rsidRPr="005364D7">
                  <w:rPr>
                    <w:sz w:val="20"/>
                    <w:szCs w:val="20"/>
                  </w:rPr>
                  <w:lastRenderedPageBreak/>
                  <w:t>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5364D7">
              <w:rPr>
                <w:sz w:val="20"/>
                <w:szCs w:val="20"/>
              </w:rPr>
              <w:t>Arreola</w:t>
            </w:r>
            <w:proofErr w:type="spellEnd"/>
            <w:r w:rsidRPr="005364D7">
              <w:rPr>
                <w:sz w:val="20"/>
                <w:szCs w:val="20"/>
              </w:rPr>
              <w:t xml:space="preserve">, D., and J. Curtis. 1993. </w:t>
            </w:r>
            <w:r w:rsidRPr="005364D7">
              <w:rPr>
                <w:i/>
                <w:iCs/>
                <w:sz w:val="20"/>
                <w:szCs w:val="20"/>
              </w:rPr>
              <w:t>The Mexican Border Cities</w:t>
            </w:r>
            <w:r w:rsidRPr="005364D7">
              <w:rPr>
                <w:sz w:val="20"/>
                <w:szCs w:val="20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Tucson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  <w:r w:rsidRPr="005364D7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Arizona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Press.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Clement, N., and E. Zepeda. 1993. </w:t>
            </w:r>
            <w:r w:rsidRPr="005364D7">
              <w:rPr>
                <w:i/>
                <w:iCs/>
                <w:sz w:val="20"/>
                <w:szCs w:val="20"/>
              </w:rPr>
              <w:t>San Diego-Tijuana in Transition</w:t>
            </w:r>
            <w:r w:rsidRPr="005364D7">
              <w:rPr>
                <w:sz w:val="20"/>
                <w:szCs w:val="20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Institute for Regional Studies of the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Californias</w:t>
                </w:r>
              </w:smartTag>
            </w:smartTag>
            <w:proofErr w:type="spellEnd"/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5364D7">
              <w:rPr>
                <w:sz w:val="20"/>
                <w:szCs w:val="20"/>
              </w:rPr>
              <w:t>Dillman</w:t>
            </w:r>
            <w:proofErr w:type="spellEnd"/>
            <w:r w:rsidRPr="005364D7">
              <w:rPr>
                <w:sz w:val="20"/>
                <w:szCs w:val="20"/>
              </w:rPr>
              <w:t xml:space="preserve">, D. 1983. “Border Urbanization.” Pp. 237–44 in </w:t>
            </w:r>
            <w:r w:rsidRPr="005364D7">
              <w:rPr>
                <w:i/>
                <w:iCs/>
                <w:sz w:val="20"/>
                <w:szCs w:val="20"/>
              </w:rPr>
              <w:t>Borderlands Sourcebook</w:t>
            </w:r>
            <w:r w:rsidRPr="005364D7">
              <w:rPr>
                <w:sz w:val="20"/>
                <w:szCs w:val="20"/>
              </w:rPr>
              <w:t xml:space="preserve">, E. Stoddard, R. </w:t>
            </w:r>
            <w:proofErr w:type="spellStart"/>
            <w:r w:rsidRPr="005364D7">
              <w:rPr>
                <w:sz w:val="20"/>
                <w:szCs w:val="20"/>
              </w:rPr>
              <w:t>Nostrand</w:t>
            </w:r>
            <w:proofErr w:type="spellEnd"/>
            <w:r w:rsidRPr="005364D7">
              <w:rPr>
                <w:sz w:val="20"/>
                <w:szCs w:val="20"/>
              </w:rPr>
              <w:t>, and J. West, eds. Norman: University of Oklahoma Press.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Gilbert, A., ed. 1989.</w:t>
            </w:r>
            <w:r w:rsidRPr="005364D7">
              <w:rPr>
                <w:i/>
                <w:iCs/>
                <w:sz w:val="20"/>
                <w:szCs w:val="20"/>
              </w:rPr>
              <w:t xml:space="preserve"> Housing and Land in Urban </w:t>
            </w:r>
            <w:smartTag w:uri="urn:schemas-microsoft-com:office:smarttags" w:element="country-region">
              <w:smartTag w:uri="urn:schemas-microsoft-com:office:smarttags" w:element="place">
                <w:r w:rsidRPr="005364D7">
                  <w:rPr>
                    <w:i/>
                    <w:iCs/>
                    <w:sz w:val="20"/>
                    <w:szCs w:val="20"/>
                  </w:rPr>
                  <w:t>Mexico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</w:t>
            </w:r>
            <w:smartTag w:uri="urn:schemas-microsoft-com:office:smarttags" w:element="place">
              <w:r w:rsidRPr="005364D7">
                <w:rPr>
                  <w:sz w:val="20"/>
                  <w:szCs w:val="20"/>
                </w:rPr>
                <w:t>La Jolla</w:t>
              </w:r>
            </w:smartTag>
            <w:r w:rsidRPr="005364D7">
              <w:rPr>
                <w:sz w:val="20"/>
                <w:szCs w:val="20"/>
              </w:rPr>
              <w:t xml:space="preserve">: Center for U.S.-Mexican Studies, </w:t>
            </w:r>
            <w:smartTag w:uri="urn:schemas-microsoft-com:office:smarttags" w:element="place"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  <w:r w:rsidRPr="005364D7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Herzog, L. A. 1999</w:t>
            </w:r>
            <w:r w:rsidRPr="005364D7">
              <w:rPr>
                <w:i/>
                <w:iCs/>
                <w:sz w:val="20"/>
                <w:szCs w:val="20"/>
              </w:rPr>
              <w:t>. From Aztec to High Tech: Architecture and Landscape Across the Mexico-United States Border.</w:t>
            </w:r>
            <w:r w:rsidRPr="005364D7">
              <w:rPr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Johns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Hopkins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Press.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Herzog, L. 1998. “Urban Planning and Sustainable Development in the </w:t>
            </w:r>
            <w:proofErr w:type="spellStart"/>
            <w:r w:rsidRPr="005364D7">
              <w:rPr>
                <w:sz w:val="20"/>
                <w:szCs w:val="20"/>
              </w:rPr>
              <w:t>Transfrontier</w:t>
            </w:r>
            <w:proofErr w:type="spellEnd"/>
            <w:r w:rsidRPr="005364D7">
              <w:rPr>
                <w:sz w:val="20"/>
                <w:szCs w:val="20"/>
              </w:rPr>
              <w:t xml:space="preserve"> Metropolis: The Tijuana-San Diego Region” in </w:t>
            </w:r>
            <w:r w:rsidRPr="005364D7">
              <w:rPr>
                <w:i/>
                <w:iCs/>
                <w:sz w:val="20"/>
                <w:szCs w:val="20"/>
              </w:rPr>
              <w:t>Sustainable Development in San Diego-Tijuana</w:t>
            </w:r>
            <w:r w:rsidRPr="005364D7">
              <w:rPr>
                <w:sz w:val="20"/>
                <w:szCs w:val="20"/>
              </w:rPr>
              <w:t xml:space="preserve">, M. Spalding, ed.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Center for U.S.-Mexican Studies, </w:t>
            </w:r>
            <w:smartTag w:uri="urn:schemas-microsoft-com:office:smarttags" w:element="place"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  <w:r w:rsidRPr="005364D7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</w:t>
            </w:r>
            <w:proofErr w:type="gramStart"/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</w:t>
                </w:r>
                <w:proofErr w:type="gramEnd"/>
                <w:r w:rsidRPr="005364D7">
                  <w:rPr>
                    <w:sz w:val="20"/>
                    <w:szCs w:val="20"/>
                  </w:rPr>
                  <w:t xml:space="preserve"> Diego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Herzog, L. 1997. “Border Urbanism.” Pp. 1505–11 in </w:t>
            </w:r>
            <w:r w:rsidRPr="005364D7">
              <w:rPr>
                <w:i/>
                <w:iCs/>
                <w:sz w:val="20"/>
                <w:szCs w:val="20"/>
              </w:rPr>
              <w:t xml:space="preserve">Encyclopedia of </w:t>
            </w:r>
            <w:smartTag w:uri="urn:schemas-microsoft-com:office:smarttags" w:element="country-region">
              <w:smartTag w:uri="urn:schemas-microsoft-com:office:smarttags" w:element="place">
                <w:r w:rsidRPr="005364D7">
                  <w:rPr>
                    <w:i/>
                    <w:iCs/>
                    <w:sz w:val="20"/>
                    <w:szCs w:val="20"/>
                  </w:rPr>
                  <w:t>Mexico</w:t>
                </w:r>
              </w:smartTag>
            </w:smartTag>
            <w:r w:rsidRPr="005364D7">
              <w:rPr>
                <w:i/>
                <w:iCs/>
                <w:sz w:val="20"/>
                <w:szCs w:val="20"/>
              </w:rPr>
              <w:t>: History, Society and Culture,</w:t>
            </w:r>
            <w:r w:rsidRPr="005364D7">
              <w:rPr>
                <w:sz w:val="20"/>
                <w:szCs w:val="20"/>
              </w:rPr>
              <w:t xml:space="preserve"> M. Werner, ed.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Chicago</w:t>
                </w:r>
              </w:smartTag>
            </w:smartTag>
            <w:r w:rsidRPr="005364D7">
              <w:rPr>
                <w:sz w:val="20"/>
                <w:szCs w:val="20"/>
              </w:rPr>
              <w:t>: Fitzroy Dearborn.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Herzog, L. 1997. “The </w:t>
            </w:r>
            <w:proofErr w:type="spellStart"/>
            <w:r w:rsidRPr="005364D7">
              <w:rPr>
                <w:sz w:val="20"/>
                <w:szCs w:val="20"/>
              </w:rPr>
              <w:t>Transfrontier</w:t>
            </w:r>
            <w:proofErr w:type="spellEnd"/>
            <w:r w:rsidRPr="005364D7">
              <w:rPr>
                <w:sz w:val="20"/>
                <w:szCs w:val="20"/>
              </w:rPr>
              <w:t xml:space="preserve"> Metropolis.” </w:t>
            </w:r>
            <w:r w:rsidRPr="005364D7">
              <w:rPr>
                <w:i/>
                <w:iCs/>
                <w:sz w:val="20"/>
                <w:szCs w:val="20"/>
              </w:rPr>
              <w:t>Harvard Design Magazine</w:t>
            </w:r>
            <w:r w:rsidRPr="005364D7">
              <w:rPr>
                <w:sz w:val="20"/>
                <w:szCs w:val="20"/>
              </w:rPr>
              <w:t xml:space="preserve"> Winter/Spring: 16–19.</w:t>
            </w:r>
            <w:r w:rsidRPr="005364D7">
              <w:rPr>
                <w:sz w:val="20"/>
                <w:szCs w:val="20"/>
              </w:rPr>
              <w:tab/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Herzog, L. 1990.  </w:t>
            </w:r>
            <w:r w:rsidRPr="005364D7">
              <w:rPr>
                <w:i/>
                <w:iCs/>
                <w:sz w:val="20"/>
                <w:szCs w:val="20"/>
              </w:rPr>
              <w:t xml:space="preserve">Where North Meets South: Cities, Space and Politics on </w:t>
            </w:r>
            <w:proofErr w:type="gramStart"/>
            <w:r w:rsidRPr="005364D7">
              <w:rPr>
                <w:i/>
                <w:iCs/>
                <w:sz w:val="20"/>
                <w:szCs w:val="20"/>
              </w:rPr>
              <w:t>the  U.S</w:t>
            </w:r>
            <w:proofErr w:type="gramEnd"/>
            <w:r w:rsidRPr="005364D7">
              <w:rPr>
                <w:i/>
                <w:iCs/>
                <w:sz w:val="20"/>
                <w:szCs w:val="20"/>
              </w:rPr>
              <w:t>.-Mexico Border</w:t>
            </w:r>
            <w:r w:rsidRPr="005364D7">
              <w:rPr>
                <w:sz w:val="20"/>
                <w:szCs w:val="20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Austin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CMAS</w:t>
                </w:r>
              </w:smartTag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/ILAS/</w:t>
                </w:r>
              </w:smartTag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of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Texas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Press.  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Herzog, L., ed. 1986. </w:t>
            </w:r>
            <w:r w:rsidRPr="005364D7">
              <w:rPr>
                <w:i/>
                <w:iCs/>
                <w:sz w:val="20"/>
                <w:szCs w:val="20"/>
              </w:rPr>
              <w:t>Planning the International Border Metropolis</w:t>
            </w:r>
            <w:r w:rsidRPr="005364D7">
              <w:rPr>
                <w:sz w:val="20"/>
                <w:szCs w:val="20"/>
              </w:rPr>
              <w:t xml:space="preserve">.  </w:t>
            </w:r>
            <w:smartTag w:uri="urn:schemas-microsoft-com:office:smarttags" w:element="place">
              <w:r w:rsidRPr="005364D7">
                <w:rPr>
                  <w:sz w:val="20"/>
                  <w:szCs w:val="20"/>
                </w:rPr>
                <w:t>La Jolla</w:t>
              </w:r>
            </w:smartTag>
            <w:r w:rsidRPr="005364D7">
              <w:rPr>
                <w:sz w:val="20"/>
                <w:szCs w:val="20"/>
              </w:rPr>
              <w:t xml:space="preserve">: Center for U.S.-Mexican Studies, </w:t>
            </w:r>
            <w:smartTag w:uri="urn:schemas-microsoft-com:office:smarttags" w:element="place"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  <w:r w:rsidRPr="005364D7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lastRenderedPageBreak/>
                  <w:t>San Diego</w:t>
                </w:r>
              </w:smartTag>
            </w:smartTag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House, J. 1982.</w:t>
            </w:r>
            <w:r w:rsidRPr="005364D7">
              <w:rPr>
                <w:i/>
                <w:iCs/>
                <w:sz w:val="20"/>
                <w:szCs w:val="20"/>
              </w:rPr>
              <w:t xml:space="preserve"> Frontier on the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i/>
                    <w:iCs/>
                    <w:sz w:val="20"/>
                    <w:szCs w:val="20"/>
                  </w:rPr>
                  <w:t>Río Grande</w:t>
                </w:r>
              </w:smartTag>
            </w:smartTag>
            <w:r w:rsidRPr="005364D7">
              <w:rPr>
                <w:i/>
                <w:iCs/>
                <w:sz w:val="20"/>
                <w:szCs w:val="20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Oxford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Oxford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Press.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Martinez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O. 1996. </w:t>
            </w:r>
            <w:r w:rsidRPr="005364D7">
              <w:rPr>
                <w:i/>
                <w:iCs/>
                <w:sz w:val="20"/>
                <w:szCs w:val="20"/>
              </w:rPr>
              <w:t>U.S.-Mexico Borderlands</w:t>
            </w:r>
            <w:r w:rsidRPr="005364D7">
              <w:rPr>
                <w:sz w:val="20"/>
                <w:szCs w:val="20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Wilmington</w:t>
                </w:r>
              </w:smartTag>
            </w:smartTag>
            <w:r w:rsidRPr="005364D7">
              <w:rPr>
                <w:sz w:val="20"/>
                <w:szCs w:val="20"/>
              </w:rPr>
              <w:t>: Scholarly Resources.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Martinez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O. 1994. </w:t>
            </w:r>
            <w:r w:rsidRPr="005364D7">
              <w:rPr>
                <w:i/>
                <w:iCs/>
                <w:sz w:val="20"/>
                <w:szCs w:val="20"/>
              </w:rPr>
              <w:t>Border People</w:t>
            </w:r>
            <w:r w:rsidRPr="005364D7">
              <w:rPr>
                <w:sz w:val="20"/>
                <w:szCs w:val="20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Tucson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  <w:r w:rsidRPr="005364D7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Arizona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Press.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Price, J. 1973.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i/>
                    <w:iCs/>
                    <w:sz w:val="20"/>
                    <w:szCs w:val="20"/>
                  </w:rPr>
                  <w:t>Tijuana</w:t>
                </w:r>
              </w:smartTag>
            </w:smartTag>
            <w:r w:rsidRPr="005364D7">
              <w:rPr>
                <w:i/>
                <w:iCs/>
                <w:sz w:val="20"/>
                <w:szCs w:val="20"/>
              </w:rPr>
              <w:t>: Urbanization in a Border Culture</w:t>
            </w:r>
            <w:r w:rsidRPr="005364D7">
              <w:rPr>
                <w:sz w:val="20"/>
                <w:szCs w:val="20"/>
              </w:rPr>
              <w:t xml:space="preserve">. Notre Dame: </w:t>
            </w:r>
            <w:smartTag w:uri="urn:schemas-microsoft-com:office:smarttags" w:element="place"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  <w:r w:rsidRPr="005364D7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Notre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Dame Press.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San Diego Dialogue. 1995. </w:t>
            </w:r>
            <w:r w:rsidRPr="005364D7">
              <w:rPr>
                <w:i/>
                <w:iCs/>
                <w:sz w:val="20"/>
                <w:szCs w:val="20"/>
                <w:lang w:val="es-MX"/>
              </w:rPr>
              <w:t xml:space="preserve">San Diego/Tijuana: </w:t>
            </w:r>
            <w:proofErr w:type="spellStart"/>
            <w:r w:rsidRPr="005364D7">
              <w:rPr>
                <w:i/>
                <w:iCs/>
                <w:sz w:val="20"/>
                <w:szCs w:val="20"/>
                <w:lang w:val="es-MX"/>
              </w:rPr>
              <w:t>Demographic</w:t>
            </w:r>
            <w:proofErr w:type="spellEnd"/>
            <w:r w:rsidRPr="005364D7">
              <w:rPr>
                <w:i/>
                <w:iCs/>
                <w:sz w:val="20"/>
                <w:szCs w:val="20"/>
                <w:lang w:val="es-MX"/>
              </w:rPr>
              <w:t xml:space="preserve"> Atlas</w:t>
            </w:r>
            <w:r w:rsidRPr="005364D7">
              <w:rPr>
                <w:sz w:val="20"/>
                <w:szCs w:val="20"/>
                <w:lang w:val="es-MX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5364D7">
              <w:rPr>
                <w:sz w:val="20"/>
                <w:szCs w:val="20"/>
              </w:rPr>
              <w:t>Sklair</w:t>
            </w:r>
            <w:proofErr w:type="spellEnd"/>
            <w:r w:rsidRPr="005364D7">
              <w:rPr>
                <w:sz w:val="20"/>
                <w:szCs w:val="20"/>
              </w:rPr>
              <w:t xml:space="preserve">, L. 1989. </w:t>
            </w:r>
            <w:r w:rsidRPr="005364D7">
              <w:rPr>
                <w:i/>
                <w:iCs/>
                <w:sz w:val="20"/>
                <w:szCs w:val="20"/>
              </w:rPr>
              <w:t>Assembling for Development</w:t>
            </w:r>
            <w:r w:rsidRPr="005364D7">
              <w:rPr>
                <w:sz w:val="20"/>
                <w:szCs w:val="20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Boston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</w:t>
            </w:r>
            <w:proofErr w:type="spellStart"/>
            <w:r w:rsidRPr="005364D7">
              <w:rPr>
                <w:sz w:val="20"/>
                <w:szCs w:val="20"/>
              </w:rPr>
              <w:t>Unwin</w:t>
            </w:r>
            <w:proofErr w:type="spellEnd"/>
            <w:r w:rsidRPr="005364D7">
              <w:rPr>
                <w:sz w:val="20"/>
                <w:szCs w:val="20"/>
              </w:rPr>
              <w:t xml:space="preserve"> Hyman.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5364D7">
              <w:rPr>
                <w:sz w:val="20"/>
                <w:szCs w:val="20"/>
              </w:rPr>
              <w:t>Sweedler</w:t>
            </w:r>
            <w:proofErr w:type="spellEnd"/>
            <w:r w:rsidRPr="005364D7">
              <w:rPr>
                <w:sz w:val="20"/>
                <w:szCs w:val="20"/>
              </w:rPr>
              <w:t xml:space="preserve">, Alan, </w:t>
            </w:r>
            <w:proofErr w:type="spellStart"/>
            <w:r w:rsidRPr="005364D7">
              <w:rPr>
                <w:sz w:val="20"/>
                <w:szCs w:val="20"/>
              </w:rPr>
              <w:t>Margarito</w:t>
            </w:r>
            <w:proofErr w:type="spellEnd"/>
            <w:r w:rsidRPr="005364D7">
              <w:rPr>
                <w:sz w:val="20"/>
                <w:szCs w:val="20"/>
              </w:rPr>
              <w:t xml:space="preserve"> Quintero </w:t>
            </w:r>
            <w:proofErr w:type="spellStart"/>
            <w:r w:rsidRPr="005364D7">
              <w:rPr>
                <w:sz w:val="20"/>
                <w:szCs w:val="20"/>
              </w:rPr>
              <w:t>Nuñez</w:t>
            </w:r>
            <w:proofErr w:type="spellEnd"/>
            <w:r w:rsidRPr="005364D7">
              <w:rPr>
                <w:sz w:val="20"/>
                <w:szCs w:val="20"/>
              </w:rPr>
              <w:t xml:space="preserve">, and Patricia Bennett. </w:t>
            </w:r>
            <w:proofErr w:type="spellStart"/>
            <w:r w:rsidRPr="005364D7">
              <w:rPr>
                <w:sz w:val="20"/>
                <w:szCs w:val="20"/>
              </w:rPr>
              <w:t>n.d.</w:t>
            </w:r>
            <w:proofErr w:type="spellEnd"/>
            <w:r w:rsidRPr="005364D7">
              <w:rPr>
                <w:sz w:val="20"/>
                <w:szCs w:val="20"/>
              </w:rPr>
              <w:t xml:space="preserve"> “Energy Sector in the California-Baja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Border Region</w:t>
            </w:r>
            <w:r w:rsidRPr="005364D7">
              <w:rPr>
                <w:i/>
                <w:iCs/>
                <w:sz w:val="20"/>
                <w:szCs w:val="20"/>
              </w:rPr>
              <w:t>.</w:t>
            </w:r>
            <w:r w:rsidRPr="005364D7">
              <w:rPr>
                <w:sz w:val="20"/>
                <w:szCs w:val="20"/>
              </w:rPr>
              <w:t xml:space="preserve">” In </w:t>
            </w:r>
            <w:r w:rsidRPr="005364D7">
              <w:rPr>
                <w:i/>
                <w:iCs/>
                <w:sz w:val="20"/>
                <w:szCs w:val="20"/>
              </w:rPr>
              <w:t xml:space="preserve">Energy and Borders.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Durham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  <w:r w:rsidRPr="005364D7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Durham</w:t>
                </w:r>
              </w:smartTag>
            </w:smartTag>
            <w:r w:rsidRPr="005364D7">
              <w:rPr>
                <w:sz w:val="20"/>
                <w:szCs w:val="20"/>
              </w:rPr>
              <w:t>, forthcoming.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The San Diego Economic Information and Modeling Project (SDEIMP) </w:t>
            </w:r>
            <w:proofErr w:type="gramStart"/>
            <w:r w:rsidRPr="005364D7">
              <w:rPr>
                <w:sz w:val="20"/>
                <w:szCs w:val="20"/>
              </w:rPr>
              <w:t>maintains</w:t>
            </w:r>
            <w:proofErr w:type="gramEnd"/>
            <w:r w:rsidRPr="005364D7">
              <w:rPr>
                <w:sz w:val="20"/>
                <w:szCs w:val="20"/>
              </w:rPr>
              <w:t xml:space="preserve"> an extensive set of socioeconomic data series on the economies of </w:t>
            </w:r>
            <w:smartTag w:uri="urn:schemas-microsoft-com:office:smarttags" w:element="place">
              <w:r w:rsidRPr="005364D7">
                <w:rPr>
                  <w:sz w:val="20"/>
                  <w:szCs w:val="20"/>
                </w:rPr>
                <w:t>Southern California</w:t>
              </w:r>
            </w:smartTag>
            <w:r w:rsidRPr="005364D7">
              <w:rPr>
                <w:sz w:val="20"/>
                <w:szCs w:val="20"/>
              </w:rPr>
              <w:t xml:space="preserve"> and the </w:t>
            </w:r>
            <w:smartTag w:uri="urn:schemas-microsoft-com:office:smarttags" w:element="country-region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United States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The SDEIMP data sets contain over 2,500 series; the </w:t>
            </w:r>
            <w:proofErr w:type="gramStart"/>
            <w:r w:rsidRPr="005364D7">
              <w:rPr>
                <w:sz w:val="20"/>
                <w:szCs w:val="20"/>
              </w:rPr>
              <w:t>majority are</w:t>
            </w:r>
            <w:proofErr w:type="gramEnd"/>
            <w:r w:rsidRPr="005364D7">
              <w:rPr>
                <w:sz w:val="20"/>
                <w:szCs w:val="20"/>
              </w:rPr>
              <w:t xml:space="preserve"> annual, beginning in the year 1969.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>’s Center for Energy Studies.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proofErr w:type="gramStart"/>
            <w:r w:rsidRPr="005364D7">
              <w:rPr>
                <w:sz w:val="20"/>
                <w:szCs w:val="20"/>
              </w:rPr>
              <w:t>A reasonable amount of data exist</w:t>
            </w:r>
            <w:proofErr w:type="gramEnd"/>
            <w:r w:rsidRPr="005364D7">
              <w:rPr>
                <w:sz w:val="20"/>
                <w:szCs w:val="20"/>
              </w:rPr>
              <w:t xml:space="preserve"> related to energy use and infrastructure in the San Diego-Tijuana region. Much of it can be found at web site at: 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fldChar w:fldCharType="begin"/>
            </w:r>
            <w:r w:rsidRPr="005364D7">
              <w:rPr>
                <w:sz w:val="20"/>
                <w:szCs w:val="20"/>
              </w:rPr>
              <w:instrText xml:space="preserve"> HYPERLINK "http://www-rohan.sdsu.edu/dept/physics/CES.html" </w:instrText>
            </w:r>
            <w:r w:rsidRPr="005364D7">
              <w:rPr>
                <w:sz w:val="20"/>
                <w:szCs w:val="20"/>
              </w:rPr>
            </w:r>
            <w:r w:rsidRPr="005364D7">
              <w:rPr>
                <w:sz w:val="20"/>
                <w:szCs w:val="20"/>
              </w:rPr>
              <w:fldChar w:fldCharType="separate"/>
            </w:r>
            <w:r w:rsidRPr="005364D7">
              <w:rPr>
                <w:rStyle w:val="Hyperlink"/>
                <w:szCs w:val="20"/>
              </w:rPr>
              <w:t>http://www-rohan.sdsu.edu/de</w:t>
            </w:r>
            <w:r w:rsidRPr="005364D7">
              <w:rPr>
                <w:rStyle w:val="Hyperlink"/>
                <w:szCs w:val="20"/>
              </w:rPr>
              <w:t>p</w:t>
            </w:r>
            <w:r w:rsidRPr="005364D7">
              <w:rPr>
                <w:rStyle w:val="Hyperlink"/>
                <w:szCs w:val="20"/>
              </w:rPr>
              <w:t>t/physics/CES.html</w:t>
            </w:r>
            <w:r w:rsidRPr="005364D7">
              <w:rPr>
                <w:sz w:val="20"/>
                <w:szCs w:val="20"/>
              </w:rPr>
              <w:fldChar w:fldCharType="end"/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lastRenderedPageBreak/>
              <w:t xml:space="preserve">The United Nations Centre for Human Settlements (Habitat) Indicators </w:t>
            </w:r>
            <w:proofErr w:type="spellStart"/>
            <w:r w:rsidRPr="005364D7">
              <w:rPr>
                <w:sz w:val="20"/>
                <w:szCs w:val="20"/>
              </w:rPr>
              <w:t>Programme</w:t>
            </w:r>
            <w:proofErr w:type="spellEnd"/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It provides a pertinent and realistic tool to measure the performance of the urban and shelter sector in cities, countries, and regions across the globe. The 46 indicators are divided into categories (Background; Socio-Economic Development; Infrastructure; Transportation; Environmental Management; Local Government; Housing Affordability and Adequacy; and Housing Provisions).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fldChar w:fldCharType="begin"/>
            </w:r>
            <w:r w:rsidRPr="005364D7">
              <w:rPr>
                <w:sz w:val="20"/>
                <w:szCs w:val="20"/>
              </w:rPr>
              <w:instrText xml:space="preserve"> HYPERLINK "http://www.unhabitat.org/" </w:instrText>
            </w:r>
            <w:r w:rsidRPr="005364D7">
              <w:rPr>
                <w:sz w:val="20"/>
                <w:szCs w:val="20"/>
              </w:rPr>
            </w:r>
            <w:r w:rsidRPr="005364D7">
              <w:rPr>
                <w:sz w:val="20"/>
                <w:szCs w:val="20"/>
              </w:rPr>
              <w:fldChar w:fldCharType="separate"/>
            </w:r>
            <w:r w:rsidRPr="005364D7">
              <w:rPr>
                <w:rStyle w:val="Hyperlink"/>
                <w:szCs w:val="20"/>
              </w:rPr>
              <w:t>http://www.unhabitat.org/</w:t>
            </w:r>
            <w:r w:rsidRPr="005364D7">
              <w:rPr>
                <w:sz w:val="20"/>
                <w:szCs w:val="20"/>
              </w:rPr>
              <w:fldChar w:fldCharType="end"/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Regional Growth Management Strategy.</w:t>
            </w:r>
            <w:r w:rsidRPr="005364D7">
              <w:rPr>
                <w:b/>
                <w:bCs/>
                <w:sz w:val="20"/>
                <w:szCs w:val="20"/>
              </w:rPr>
              <w:t xml:space="preserve"> </w:t>
            </w:r>
            <w:r w:rsidRPr="005364D7">
              <w:rPr>
                <w:sz w:val="20"/>
                <w:szCs w:val="20"/>
              </w:rPr>
              <w:t xml:space="preserve"> The Regional Growth Management Strategy (RGMS) was adopted by the San Diego Association of Governments (SANDAG) in 1993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fldChar w:fldCharType="begin"/>
            </w:r>
            <w:r w:rsidRPr="005364D7">
              <w:rPr>
                <w:sz w:val="20"/>
                <w:szCs w:val="20"/>
              </w:rPr>
              <w:instrText xml:space="preserve"> HYPERLINK "http://www.sandag.cog.ca.us/ftp/html/landuse/regionalgrowth" </w:instrText>
            </w:r>
            <w:r w:rsidRPr="005364D7">
              <w:rPr>
                <w:sz w:val="20"/>
                <w:szCs w:val="20"/>
              </w:rPr>
            </w:r>
            <w:r w:rsidRPr="005364D7">
              <w:rPr>
                <w:sz w:val="20"/>
                <w:szCs w:val="20"/>
              </w:rPr>
              <w:fldChar w:fldCharType="separate"/>
            </w:r>
            <w:r w:rsidRPr="005364D7">
              <w:rPr>
                <w:sz w:val="20"/>
                <w:szCs w:val="20"/>
              </w:rPr>
              <w:fldChar w:fldCharType="end"/>
            </w:r>
            <w:r w:rsidRPr="005364D7">
              <w:rPr>
                <w:sz w:val="20"/>
                <w:szCs w:val="20"/>
              </w:rPr>
              <w:t xml:space="preserve"> 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SANDAG creates and maintains a tremendous quantity of demographic, economic, land use, transportation and criminal justice information about the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region.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fldChar w:fldCharType="begin"/>
            </w:r>
            <w:r w:rsidRPr="005364D7">
              <w:rPr>
                <w:sz w:val="20"/>
                <w:szCs w:val="20"/>
              </w:rPr>
              <w:instrText xml:space="preserve"> HYPERLINK "http://www.sandag.cog.ca.us/index.asp?classid=26&amp;fuseaction=home.classhome" </w:instrText>
            </w:r>
            <w:r w:rsidRPr="005364D7">
              <w:rPr>
                <w:sz w:val="20"/>
                <w:szCs w:val="20"/>
              </w:rPr>
            </w:r>
            <w:r w:rsidRPr="005364D7">
              <w:rPr>
                <w:sz w:val="20"/>
                <w:szCs w:val="20"/>
              </w:rPr>
              <w:fldChar w:fldCharType="separate"/>
            </w:r>
            <w:r w:rsidRPr="005364D7">
              <w:rPr>
                <w:rStyle w:val="Hyperlink"/>
                <w:szCs w:val="20"/>
              </w:rPr>
              <w:t>http://www.sandag.cog.ca.us/index.asp?classid=26&amp;fuseaction=home.classhome</w:t>
            </w:r>
            <w:r w:rsidRPr="005364D7">
              <w:rPr>
                <w:sz w:val="20"/>
                <w:szCs w:val="20"/>
              </w:rPr>
              <w:fldChar w:fldCharType="end"/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California/Mexico Public Health Strategic Planning Meeting. 1998. </w:t>
            </w:r>
            <w:r w:rsidRPr="005364D7">
              <w:rPr>
                <w:i/>
                <w:iCs/>
                <w:sz w:val="20"/>
                <w:szCs w:val="20"/>
              </w:rPr>
              <w:t>Outcomes and recommendations. Executive Summary</w:t>
            </w:r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5364D7">
              <w:rPr>
                <w:sz w:val="20"/>
                <w:szCs w:val="20"/>
              </w:rPr>
              <w:t>Ganster</w:t>
            </w:r>
            <w:proofErr w:type="spellEnd"/>
            <w:r w:rsidRPr="005364D7">
              <w:rPr>
                <w:sz w:val="20"/>
                <w:szCs w:val="20"/>
              </w:rPr>
              <w:t xml:space="preserve">, Paul. 1996. “Environmental Issues of the California-Baja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Border Region.” </w:t>
            </w:r>
            <w:r w:rsidRPr="005364D7">
              <w:rPr>
                <w:i/>
                <w:iCs/>
                <w:sz w:val="20"/>
                <w:szCs w:val="20"/>
              </w:rPr>
              <w:t>Border Environment Research Reports</w:t>
            </w:r>
            <w:r w:rsidRPr="005364D7">
              <w:rPr>
                <w:sz w:val="20"/>
                <w:szCs w:val="20"/>
              </w:rPr>
              <w:t xml:space="preserve">. 1 (June).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Institute for Regional Studies of the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Californias</w:t>
                </w:r>
              </w:smartTag>
            </w:smartTag>
            <w:proofErr w:type="spellEnd"/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5364D7">
              <w:rPr>
                <w:sz w:val="20"/>
                <w:szCs w:val="20"/>
              </w:rPr>
              <w:t>Guendelman</w:t>
            </w:r>
            <w:proofErr w:type="spellEnd"/>
            <w:r w:rsidRPr="005364D7">
              <w:rPr>
                <w:sz w:val="20"/>
                <w:szCs w:val="20"/>
              </w:rPr>
              <w:t xml:space="preserve">, S. and M.J. </w:t>
            </w:r>
            <w:proofErr w:type="spellStart"/>
            <w:r w:rsidRPr="005364D7">
              <w:rPr>
                <w:sz w:val="20"/>
                <w:szCs w:val="20"/>
              </w:rPr>
              <w:t>Silberg</w:t>
            </w:r>
            <w:proofErr w:type="spellEnd"/>
            <w:r w:rsidRPr="005364D7">
              <w:rPr>
                <w:sz w:val="20"/>
                <w:szCs w:val="20"/>
              </w:rPr>
              <w:t xml:space="preserve">. 1993. “The Health Consequences of </w:t>
            </w:r>
            <w:r w:rsidRPr="005364D7">
              <w:rPr>
                <w:i/>
                <w:iCs/>
                <w:sz w:val="20"/>
                <w:szCs w:val="20"/>
              </w:rPr>
              <w:t>Maquiladora</w:t>
            </w:r>
            <w:r w:rsidRPr="005364D7">
              <w:rPr>
                <w:sz w:val="20"/>
                <w:szCs w:val="20"/>
              </w:rPr>
              <w:t xml:space="preserve"> Work: Women on the U.S.-Mexican Border.” </w:t>
            </w:r>
            <w:r w:rsidRPr="005364D7">
              <w:rPr>
                <w:i/>
                <w:iCs/>
                <w:sz w:val="20"/>
                <w:szCs w:val="20"/>
              </w:rPr>
              <w:t>American Journal of Public Health</w:t>
            </w:r>
            <w:r w:rsidRPr="005364D7">
              <w:rPr>
                <w:sz w:val="20"/>
                <w:szCs w:val="20"/>
              </w:rPr>
              <w:t xml:space="preserve"> 83: 37–44.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San Diego Dialogue. 1994. </w:t>
            </w:r>
            <w:r w:rsidRPr="005364D7">
              <w:rPr>
                <w:i/>
                <w:iCs/>
                <w:sz w:val="20"/>
                <w:szCs w:val="20"/>
              </w:rPr>
              <w:t xml:space="preserve">Who Crosses the Border: A View of the San Diego/Tijuana Metropolitan </w:t>
            </w:r>
            <w:proofErr w:type="gramStart"/>
            <w:r w:rsidRPr="005364D7">
              <w:rPr>
                <w:i/>
                <w:iCs/>
                <w:sz w:val="20"/>
                <w:szCs w:val="20"/>
              </w:rPr>
              <w:t>Region</w:t>
            </w:r>
            <w:r w:rsidRPr="005364D7">
              <w:rPr>
                <w:sz w:val="20"/>
                <w:szCs w:val="20"/>
              </w:rPr>
              <w:t>.</w:t>
            </w:r>
            <w:proofErr w:type="gramEnd"/>
            <w:r w:rsidRPr="005364D7">
              <w:rPr>
                <w:sz w:val="20"/>
                <w:szCs w:val="20"/>
              </w:rPr>
              <w:t xml:space="preserve"> (April).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US-Mexico Border XXI Program. 1997. </w:t>
            </w:r>
            <w:r w:rsidRPr="005364D7">
              <w:rPr>
                <w:i/>
                <w:iCs/>
                <w:sz w:val="20"/>
                <w:szCs w:val="20"/>
              </w:rPr>
              <w:t xml:space="preserve">Comment and Response </w:t>
            </w:r>
            <w:r w:rsidRPr="005364D7">
              <w:rPr>
                <w:i/>
                <w:iCs/>
                <w:sz w:val="20"/>
                <w:szCs w:val="20"/>
              </w:rPr>
              <w:lastRenderedPageBreak/>
              <w:t>Summary Report</w:t>
            </w:r>
            <w:r w:rsidRPr="005364D7">
              <w:rPr>
                <w:sz w:val="20"/>
                <w:szCs w:val="20"/>
              </w:rPr>
              <w:t>. (June).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i/>
                <w:iCs/>
                <w:sz w:val="20"/>
                <w:szCs w:val="20"/>
              </w:rPr>
              <w:t>Ecotourism Summit Fact Sheet</w:t>
            </w:r>
            <w:r w:rsidRPr="005364D7">
              <w:rPr>
                <w:sz w:val="20"/>
                <w:szCs w:val="20"/>
              </w:rPr>
              <w:t xml:space="preserve">. 1997. Presented at the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Ecotourism Summit, 18 September,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A7F48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bCs/>
                <w:sz w:val="20"/>
                <w:szCs w:val="20"/>
              </w:rPr>
            </w:pPr>
            <w:r w:rsidRPr="005A7F48">
              <w:rPr>
                <w:sz w:val="20"/>
                <w:szCs w:val="20"/>
              </w:rPr>
              <w:t xml:space="preserve">Langdon, Margaret. 1970. </w:t>
            </w:r>
            <w:r w:rsidRPr="005A7F48">
              <w:rPr>
                <w:i/>
                <w:iCs/>
                <w:sz w:val="20"/>
                <w:szCs w:val="20"/>
              </w:rPr>
              <w:t xml:space="preserve">A Grammar of Diegueno: The </w:t>
            </w:r>
            <w:smartTag w:uri="urn:schemas-microsoft-com:office:smarttags" w:element="City">
              <w:smartTag w:uri="urn:schemas-microsoft-com:office:smarttags" w:element="place">
                <w:r w:rsidRPr="005A7F48">
                  <w:rPr>
                    <w:i/>
                    <w:iCs/>
                    <w:sz w:val="20"/>
                    <w:szCs w:val="20"/>
                  </w:rPr>
                  <w:t>Mesa</w:t>
                </w:r>
              </w:smartTag>
            </w:smartTag>
            <w:r w:rsidRPr="005A7F48">
              <w:rPr>
                <w:i/>
                <w:iCs/>
                <w:sz w:val="20"/>
                <w:szCs w:val="20"/>
              </w:rPr>
              <w:t xml:space="preserve"> Grande Dialect, No. 66</w:t>
            </w:r>
            <w:r w:rsidRPr="005A7F48">
              <w:rPr>
                <w:sz w:val="20"/>
                <w:szCs w:val="20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5A7F48">
                  <w:rPr>
                    <w:sz w:val="20"/>
                    <w:szCs w:val="20"/>
                  </w:rPr>
                  <w:t>Berkeley</w:t>
                </w:r>
              </w:smartTag>
            </w:smartTag>
            <w:r w:rsidRPr="005A7F48">
              <w:rPr>
                <w:sz w:val="20"/>
                <w:szCs w:val="20"/>
              </w:rPr>
              <w:t xml:space="preserve">: Publications in Linguistics, </w:t>
            </w:r>
            <w:smartTag w:uri="urn:schemas-microsoft-com:office:smarttags" w:element="place">
              <w:smartTag w:uri="urn:schemas-microsoft-com:office:smarttags" w:element="PlaceType">
                <w:r w:rsidRPr="005A7F48">
                  <w:rPr>
                    <w:sz w:val="20"/>
                    <w:szCs w:val="20"/>
                  </w:rPr>
                  <w:t>University</w:t>
                </w:r>
              </w:smartTag>
              <w:r w:rsidRPr="005A7F48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A7F48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A7F48">
              <w:rPr>
                <w:sz w:val="20"/>
                <w:szCs w:val="20"/>
              </w:rPr>
              <w:t xml:space="preserve">. </w:t>
            </w:r>
            <w:r w:rsidRPr="005A7F48">
              <w:rPr>
                <w:bCs/>
                <w:sz w:val="20"/>
                <w:szCs w:val="20"/>
              </w:rPr>
              <w:t>A linguistic study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5364D7">
              <w:rPr>
                <w:sz w:val="20"/>
                <w:szCs w:val="20"/>
              </w:rPr>
              <w:t>Shipek</w:t>
            </w:r>
            <w:proofErr w:type="spellEnd"/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Florence</w:t>
                </w:r>
              </w:smartTag>
            </w:smartTag>
            <w:r w:rsidRPr="005364D7">
              <w:rPr>
                <w:sz w:val="20"/>
                <w:szCs w:val="20"/>
              </w:rPr>
              <w:t>. 1993. “</w:t>
            </w:r>
            <w:proofErr w:type="spellStart"/>
            <w:r w:rsidRPr="005364D7">
              <w:rPr>
                <w:sz w:val="20"/>
                <w:szCs w:val="20"/>
              </w:rPr>
              <w:t>Kumeyaay</w:t>
            </w:r>
            <w:proofErr w:type="spellEnd"/>
            <w:r w:rsidRPr="005364D7">
              <w:rPr>
                <w:sz w:val="20"/>
                <w:szCs w:val="20"/>
              </w:rPr>
              <w:t xml:space="preserve"> Plant Husbandry: Fire, Water, and Erosion Control Systems.” In </w:t>
            </w:r>
            <w:r w:rsidRPr="005364D7">
              <w:rPr>
                <w:i/>
                <w:iCs/>
                <w:sz w:val="20"/>
                <w:szCs w:val="20"/>
              </w:rPr>
              <w:t xml:space="preserve">Before the Wilderness: Environmental Management by Native Californians, </w:t>
            </w:r>
            <w:r w:rsidRPr="005364D7">
              <w:rPr>
                <w:sz w:val="20"/>
                <w:szCs w:val="20"/>
              </w:rPr>
              <w:t xml:space="preserve">Thomas C. Blackburn and Kat Anderson, eds.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Menlo Park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</w:t>
            </w:r>
            <w:proofErr w:type="spellStart"/>
            <w:r w:rsidRPr="005364D7">
              <w:rPr>
                <w:sz w:val="20"/>
                <w:szCs w:val="20"/>
              </w:rPr>
              <w:t>Ballena</w:t>
            </w:r>
            <w:proofErr w:type="spellEnd"/>
            <w:r w:rsidRPr="005364D7">
              <w:rPr>
                <w:sz w:val="20"/>
                <w:szCs w:val="20"/>
              </w:rPr>
              <w:t xml:space="preserve"> Press. </w:t>
            </w:r>
          </w:p>
          <w:p w:rsidR="00920BA5" w:rsidRPr="005364D7" w:rsidRDefault="00920BA5" w:rsidP="00920BA5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top w:val="single" w:sz="6" w:space="1" w:color="auto"/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bCs/>
                <w:sz w:val="20"/>
                <w:szCs w:val="20"/>
              </w:rPr>
            </w:pPr>
            <w:r w:rsidRPr="005364D7">
              <w:rPr>
                <w:bCs/>
                <w:sz w:val="20"/>
                <w:szCs w:val="20"/>
              </w:rPr>
              <w:t xml:space="preserve">An </w:t>
            </w:r>
            <w:proofErr w:type="spellStart"/>
            <w:r w:rsidRPr="005364D7">
              <w:rPr>
                <w:bCs/>
                <w:sz w:val="20"/>
                <w:szCs w:val="20"/>
              </w:rPr>
              <w:t>ethnoarchaeological</w:t>
            </w:r>
            <w:proofErr w:type="spellEnd"/>
            <w:r w:rsidRPr="005364D7">
              <w:rPr>
                <w:bCs/>
                <w:sz w:val="20"/>
                <w:szCs w:val="20"/>
              </w:rPr>
              <w:t xml:space="preserve"> study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Gifford, Edward W., and Lowie. 1928. </w:t>
            </w:r>
            <w:r w:rsidRPr="005364D7">
              <w:rPr>
                <w:i/>
                <w:iCs/>
                <w:sz w:val="20"/>
                <w:szCs w:val="20"/>
              </w:rPr>
              <w:t xml:space="preserve">Notes on the </w:t>
            </w:r>
            <w:proofErr w:type="spellStart"/>
            <w:r w:rsidRPr="005364D7">
              <w:rPr>
                <w:i/>
                <w:iCs/>
                <w:sz w:val="20"/>
                <w:szCs w:val="20"/>
              </w:rPr>
              <w:t>Akwa’ala</w:t>
            </w:r>
            <w:proofErr w:type="spellEnd"/>
            <w:r w:rsidRPr="005364D7">
              <w:rPr>
                <w:i/>
                <w:iCs/>
                <w:sz w:val="20"/>
                <w:szCs w:val="20"/>
              </w:rPr>
              <w:t xml:space="preserve"> Indians of </w:t>
            </w:r>
            <w:smartTag w:uri="urn:schemas-microsoft-com:office:smarttags" w:element="place">
              <w:r w:rsidRPr="005364D7">
                <w:rPr>
                  <w:i/>
                  <w:iCs/>
                  <w:sz w:val="20"/>
                  <w:szCs w:val="20"/>
                </w:rPr>
                <w:t>Lower California</w:t>
              </w:r>
            </w:smartTag>
            <w:r w:rsidRPr="005364D7">
              <w:rPr>
                <w:i/>
                <w:iCs/>
                <w:sz w:val="20"/>
                <w:szCs w:val="20"/>
              </w:rPr>
              <w:t>, No.29.</w:t>
            </w:r>
            <w:r w:rsidRPr="005364D7">
              <w:rPr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Tucson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</w:t>
            </w:r>
            <w:smartTag w:uri="urn:schemas-microsoft-com:office:smarttags" w:element="place"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  <w:r w:rsidRPr="005364D7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Arizona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5364D7">
              <w:rPr>
                <w:sz w:val="20"/>
                <w:szCs w:val="20"/>
              </w:rPr>
              <w:t>Meigs</w:t>
            </w:r>
            <w:proofErr w:type="spellEnd"/>
            <w:r w:rsidRPr="005364D7">
              <w:rPr>
                <w:sz w:val="20"/>
                <w:szCs w:val="20"/>
              </w:rPr>
              <w:t xml:space="preserve">, </w:t>
            </w:r>
            <w:proofErr w:type="spellStart"/>
            <w:r w:rsidRPr="005364D7">
              <w:rPr>
                <w:sz w:val="20"/>
                <w:szCs w:val="20"/>
              </w:rPr>
              <w:t>Peveril</w:t>
            </w:r>
            <w:proofErr w:type="spellEnd"/>
            <w:r w:rsidRPr="005364D7">
              <w:rPr>
                <w:sz w:val="20"/>
                <w:szCs w:val="20"/>
              </w:rPr>
              <w:t xml:space="preserve">, III, 1939. “The </w:t>
            </w:r>
            <w:proofErr w:type="spellStart"/>
            <w:r w:rsidRPr="005364D7">
              <w:rPr>
                <w:sz w:val="20"/>
                <w:szCs w:val="20"/>
              </w:rPr>
              <w:t>Kiliwa</w:t>
            </w:r>
            <w:proofErr w:type="spellEnd"/>
            <w:r w:rsidRPr="005364D7">
              <w:rPr>
                <w:sz w:val="20"/>
                <w:szCs w:val="20"/>
              </w:rPr>
              <w:t xml:space="preserve"> Indians of </w:t>
            </w:r>
            <w:smartTag w:uri="urn:schemas-microsoft-com:office:smarttags" w:element="place">
              <w:r w:rsidRPr="005364D7">
                <w:rPr>
                  <w:sz w:val="20"/>
                  <w:szCs w:val="20"/>
                </w:rPr>
                <w:t>Lower California</w:t>
              </w:r>
            </w:smartTag>
            <w:r w:rsidRPr="005364D7">
              <w:rPr>
                <w:sz w:val="20"/>
                <w:szCs w:val="20"/>
              </w:rPr>
              <w:t xml:space="preserve">.” </w:t>
            </w:r>
            <w:proofErr w:type="spellStart"/>
            <w:r w:rsidRPr="005364D7">
              <w:rPr>
                <w:sz w:val="20"/>
                <w:szCs w:val="20"/>
              </w:rPr>
              <w:t>Ibero</w:t>
            </w:r>
            <w:proofErr w:type="spellEnd"/>
            <w:r w:rsidRPr="005364D7">
              <w:rPr>
                <w:sz w:val="20"/>
                <w:szCs w:val="20"/>
              </w:rPr>
              <w:t>-Americana 15: 1–114.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Langdon, Margaret. 1970. </w:t>
            </w:r>
            <w:r w:rsidRPr="005364D7">
              <w:rPr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Pr="005364D7">
              <w:rPr>
                <w:i/>
                <w:iCs/>
                <w:sz w:val="20"/>
                <w:szCs w:val="20"/>
              </w:rPr>
              <w:t>Grammer</w:t>
            </w:r>
            <w:proofErr w:type="spellEnd"/>
            <w:r w:rsidRPr="005364D7">
              <w:rPr>
                <w:i/>
                <w:iCs/>
                <w:sz w:val="20"/>
                <w:szCs w:val="20"/>
              </w:rPr>
              <w:t xml:space="preserve"> of Diegueno: The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i/>
                    <w:iCs/>
                    <w:sz w:val="20"/>
                    <w:szCs w:val="20"/>
                  </w:rPr>
                  <w:t>Mesa</w:t>
                </w:r>
              </w:smartTag>
            </w:smartTag>
            <w:r w:rsidRPr="005364D7">
              <w:rPr>
                <w:i/>
                <w:iCs/>
                <w:sz w:val="20"/>
                <w:szCs w:val="20"/>
              </w:rPr>
              <w:t xml:space="preserve"> Grande Dialect, No. 66</w:t>
            </w:r>
            <w:r w:rsidRPr="005364D7">
              <w:rPr>
                <w:sz w:val="20"/>
                <w:szCs w:val="20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Berkeley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Publications in Linguistics, </w:t>
            </w:r>
            <w:smartTag w:uri="urn:schemas-microsoft-com:office:smarttags" w:element="place"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  <w:r w:rsidRPr="005364D7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Owen, Roger C. 1978. “Indians of Santa </w:t>
            </w:r>
            <w:proofErr w:type="spellStart"/>
            <w:r w:rsidRPr="005364D7">
              <w:rPr>
                <w:sz w:val="20"/>
                <w:szCs w:val="20"/>
              </w:rPr>
              <w:t>Catarina</w:t>
            </w:r>
            <w:proofErr w:type="spellEnd"/>
            <w:r w:rsidRPr="005364D7">
              <w:rPr>
                <w:sz w:val="20"/>
                <w:szCs w:val="20"/>
              </w:rPr>
              <w:t xml:space="preserve">.” Ph.D. Diss., </w:t>
            </w:r>
            <w:smartTag w:uri="urn:schemas-microsoft-com:office:smarttags" w:element="place"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  <w:r w:rsidRPr="005364D7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Berkeley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bCs/>
                <w:sz w:val="20"/>
                <w:szCs w:val="20"/>
              </w:rPr>
              <w:t xml:space="preserve">Information on the indigenous populations of northern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bCs/>
                    <w:sz w:val="20"/>
                    <w:szCs w:val="20"/>
                  </w:rPr>
                  <w:t>Baja California</w:t>
                </w:r>
              </w:smartTag>
            </w:smartTag>
            <w:r w:rsidRPr="005364D7">
              <w:rPr>
                <w:bCs/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Land Resources and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Management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Plan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Cleveland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National Forest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1988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Sustaining Ecosystems: A Conceptual Framework, USDA 5R-EM-TP-001, April 1995 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South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Coast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Resource Management Plan DOI-BLM 1994 </w:t>
            </w:r>
            <w:r w:rsidRPr="005364D7">
              <w:rPr>
                <w:sz w:val="20"/>
                <w:szCs w:val="20"/>
              </w:rPr>
              <w:lastRenderedPageBreak/>
              <w:t>BLM/CA/PL-94/013+1611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Protected areas which either border or cross into the watershed along the border are Bureau of Land Management (BLM) proposed wilderness areas (Hauser Mountain and </w:t>
            </w:r>
            <w:proofErr w:type="spellStart"/>
            <w:r w:rsidRPr="005364D7">
              <w:rPr>
                <w:sz w:val="20"/>
                <w:szCs w:val="20"/>
              </w:rPr>
              <w:t>Otay</w:t>
            </w:r>
            <w:proofErr w:type="spellEnd"/>
            <w:r w:rsidRPr="005364D7">
              <w:rPr>
                <w:sz w:val="20"/>
                <w:szCs w:val="20"/>
              </w:rPr>
              <w:t xml:space="preserve"> Mountain, the </w:t>
            </w:r>
            <w:proofErr w:type="spellStart"/>
            <w:r w:rsidRPr="005364D7">
              <w:rPr>
                <w:sz w:val="20"/>
                <w:szCs w:val="20"/>
              </w:rPr>
              <w:t>Guatay</w:t>
            </w:r>
            <w:proofErr w:type="spellEnd"/>
            <w:r w:rsidRPr="005364D7">
              <w:rPr>
                <w:sz w:val="20"/>
                <w:szCs w:val="20"/>
              </w:rPr>
              <w:t xml:space="preserve"> Mountain SIA, </w:t>
            </w:r>
            <w:proofErr w:type="spellStart"/>
            <w:r w:rsidRPr="005364D7">
              <w:rPr>
                <w:sz w:val="20"/>
                <w:szCs w:val="20"/>
              </w:rPr>
              <w:t>Kucchamaa</w:t>
            </w:r>
            <w:proofErr w:type="spellEnd"/>
            <w:r w:rsidRPr="005364D7">
              <w:rPr>
                <w:sz w:val="20"/>
                <w:szCs w:val="20"/>
              </w:rPr>
              <w:t xml:space="preserve"> Areas of Critical Environmental Concern [ACEC], Cedar Canyon ACEC, and Southern </w:t>
            </w:r>
            <w:proofErr w:type="spellStart"/>
            <w:r w:rsidRPr="005364D7">
              <w:rPr>
                <w:sz w:val="20"/>
                <w:szCs w:val="20"/>
              </w:rPr>
              <w:t>Otay</w:t>
            </w:r>
            <w:proofErr w:type="spellEnd"/>
            <w:r w:rsidRPr="005364D7">
              <w:rPr>
                <w:sz w:val="20"/>
                <w:szCs w:val="20"/>
              </w:rPr>
              <w:t xml:space="preserve"> Mountain).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Border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Field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 Park</w:t>
                </w:r>
              </w:smartTag>
            </w:smartTag>
            <w:r w:rsidRPr="005364D7">
              <w:rPr>
                <w:sz w:val="20"/>
                <w:szCs w:val="20"/>
              </w:rPr>
              <w:t>, Unit History, Chronology 1976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A Management Framework for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River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Valley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June 1989. Prepared for the </w:t>
            </w:r>
            <w:smartTag w:uri="urn:schemas-microsoft-com:office:smarttags" w:element="place"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County</w:t>
                </w:r>
              </w:smartTag>
              <w:r w:rsidRPr="005364D7"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Department of Parks and Recreation by the Graduate Program, </w:t>
            </w:r>
            <w:smartTag w:uri="urn:schemas-microsoft-com:office:smarttags" w:element="place">
              <w:smartTag w:uri="urn:schemas-microsoft-com:office:smarttags" w:element="City">
                <w:r w:rsidRPr="005364D7">
                  <w:rPr>
                    <w:sz w:val="20"/>
                    <w:szCs w:val="20"/>
                  </w:rPr>
                  <w:t>Dept. of Landscape Architecture</w:t>
                </w:r>
              </w:smartTag>
              <w:r w:rsidRPr="005364D7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Polytechnic University, </w:t>
            </w:r>
            <w:smartTag w:uri="urn:schemas-microsoft-com:office:smarttags" w:element="place">
              <w:smartTag w:uri="urn:schemas-microsoft-com:office:smarttags" w:element="City">
                <w:r w:rsidRPr="005364D7">
                  <w:rPr>
                    <w:sz w:val="20"/>
                    <w:szCs w:val="20"/>
                  </w:rPr>
                  <w:t>Pomona</w:t>
                </w:r>
              </w:smartTag>
              <w:r w:rsidRPr="005364D7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GIS data </w:t>
            </w:r>
            <w:proofErr w:type="spellStart"/>
            <w:r w:rsidRPr="005364D7">
              <w:rPr>
                <w:sz w:val="20"/>
                <w:szCs w:val="20"/>
              </w:rPr>
              <w:t>complied</w:t>
            </w:r>
            <w:proofErr w:type="spellEnd"/>
            <w:r w:rsidRPr="005364D7">
              <w:rPr>
                <w:sz w:val="20"/>
                <w:szCs w:val="20"/>
              </w:rPr>
              <w:t xml:space="preserve"> for </w:t>
            </w:r>
            <w:smartTag w:uri="urn:schemas-microsoft-com:office:smarttags" w:element="place">
              <w:r w:rsidRPr="005364D7">
                <w:rPr>
                  <w:sz w:val="20"/>
                  <w:szCs w:val="20"/>
                </w:rPr>
                <w:t>Forest</w:t>
              </w:r>
            </w:smartTag>
            <w:r w:rsidRPr="005364D7">
              <w:rPr>
                <w:sz w:val="20"/>
                <w:szCs w:val="20"/>
              </w:rPr>
              <w:t xml:space="preserve"> and Woodland Multi-Species Conservation Strategy (DRAFT) 1998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  <w:lang w:val="en-GB"/>
              </w:rPr>
              <w:t xml:space="preserve">Williams, M. David. 1989. </w:t>
            </w:r>
            <w:proofErr w:type="spellStart"/>
            <w:r w:rsidRPr="005364D7">
              <w:rPr>
                <w:sz w:val="20"/>
                <w:szCs w:val="20"/>
                <w:lang w:val="en-GB"/>
              </w:rPr>
              <w:t>Coccidioidomicosis</w:t>
            </w:r>
            <w:proofErr w:type="spellEnd"/>
            <w:r w:rsidRPr="005364D7">
              <w:rPr>
                <w:sz w:val="20"/>
                <w:szCs w:val="20"/>
                <w:lang w:val="en-GB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  <w:lang w:val="en-GB"/>
                  </w:rPr>
                  <w:t>Tijuana</w:t>
                </w:r>
              </w:smartTag>
            </w:smartTag>
            <w:r w:rsidRPr="005364D7">
              <w:rPr>
                <w:sz w:val="20"/>
                <w:szCs w:val="20"/>
                <w:lang w:val="en-GB"/>
              </w:rPr>
              <w:t xml:space="preserve">: A Spatial and Epidemiological Analysis.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  <w:lang w:val="en-GB"/>
                  </w:rPr>
                  <w:t>San Diego</w:t>
                </w:r>
              </w:smartTag>
              <w:r w:rsidRPr="005364D7">
                <w:rPr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  <w:lang w:val="en-GB"/>
                  </w:rPr>
                  <w:t>State</w:t>
                </w:r>
              </w:smartTag>
              <w:r w:rsidRPr="005364D7">
                <w:rPr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  <w:lang w:val="en-GB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7380" w:type="dxa"/>
          </w:tcPr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</w:rPr>
              <w:fldChar w:fldCharType="begin"/>
            </w:r>
            <w:r w:rsidRPr="005364D7">
              <w:rPr>
                <w:sz w:val="20"/>
                <w:szCs w:val="20"/>
                <w:lang w:val="es-MX"/>
              </w:rPr>
              <w:instrText xml:space="preserve"> HYPERLINK "http://www.inegi.gob.mx/est/default.asp?c=&amp;e=02" </w:instrText>
            </w:r>
            <w:r w:rsidRPr="005364D7">
              <w:rPr>
                <w:sz w:val="20"/>
                <w:szCs w:val="20"/>
              </w:rPr>
            </w:r>
            <w:r w:rsidRPr="005364D7">
              <w:rPr>
                <w:sz w:val="20"/>
                <w:szCs w:val="20"/>
              </w:rPr>
              <w:fldChar w:fldCharType="separate"/>
            </w:r>
            <w:r w:rsidRPr="005364D7">
              <w:rPr>
                <w:rStyle w:val="Hyperlink"/>
                <w:szCs w:val="20"/>
                <w:lang w:val="es-MX"/>
              </w:rPr>
              <w:t>INEGI, Instituto Nacional</w:t>
            </w:r>
            <w:r w:rsidRPr="005364D7">
              <w:rPr>
                <w:rStyle w:val="Hyperlink"/>
                <w:szCs w:val="20"/>
                <w:lang w:val="es-MX"/>
              </w:rPr>
              <w:t xml:space="preserve"> </w:t>
            </w:r>
            <w:r w:rsidRPr="005364D7">
              <w:rPr>
                <w:rStyle w:val="Hyperlink"/>
                <w:szCs w:val="20"/>
                <w:lang w:val="es-MX"/>
              </w:rPr>
              <w:t>de Estadística Geográfica e Informática.</w:t>
            </w:r>
            <w:r w:rsidRPr="005364D7">
              <w:rPr>
                <w:sz w:val="20"/>
                <w:szCs w:val="20"/>
              </w:rPr>
              <w:fldChar w:fldCharType="end"/>
            </w:r>
            <w:r w:rsidRPr="005364D7">
              <w:rPr>
                <w:sz w:val="20"/>
                <w:szCs w:val="20"/>
                <w:lang w:val="es-MX"/>
              </w:rPr>
              <w:t xml:space="preserve"> Indicadores Disponibles para el Estado de Baja California.</w:t>
            </w:r>
          </w:p>
          <w:p w:rsidR="00920BA5" w:rsidRPr="005364D7" w:rsidRDefault="00920BA5" w:rsidP="00920BA5">
            <w:pPr>
              <w:pStyle w:val="body"/>
              <w:pBdr>
                <w:bottom w:val="single" w:sz="6" w:space="1" w:color="auto"/>
              </w:pBdr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http://www.inegi.gob.mx/est/default.asp?c=&amp;e=02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Style w:val="HTMLPreformatted"/>
              <w:spacing w:line="240" w:lineRule="auto"/>
              <w:rPr>
                <w:rFonts w:ascii="Times New Roman" w:hAnsi="Times New Roman" w:cs="Times New Roman"/>
                <w:lang w:val="es-MX"/>
              </w:rPr>
            </w:pPr>
            <w:r w:rsidRPr="005364D7">
              <w:rPr>
                <w:rFonts w:ascii="Times New Roman" w:hAnsi="Times New Roman" w:cs="Times New Roman"/>
                <w:lang w:val="es-MX"/>
              </w:rPr>
              <w:t xml:space="preserve">SALUD </w:t>
            </w:r>
            <w:proofErr w:type="gramStart"/>
            <w:r w:rsidRPr="005364D7">
              <w:rPr>
                <w:rFonts w:ascii="Times New Roman" w:hAnsi="Times New Roman" w:cs="Times New Roman"/>
                <w:lang w:val="es-MX"/>
              </w:rPr>
              <w:t>PUBLICA</w:t>
            </w:r>
            <w:proofErr w:type="gramEnd"/>
            <w:r w:rsidRPr="005364D7">
              <w:rPr>
                <w:rFonts w:ascii="Times New Roman" w:hAnsi="Times New Roman" w:cs="Times New Roman"/>
                <w:lang w:val="es-MX"/>
              </w:rPr>
              <w:t xml:space="preserve"> EN MEXICO. NOVIEMBRE-DICIEMBRE DE 1994, VOL.36, </w:t>
            </w:r>
            <w:proofErr w:type="gramStart"/>
            <w:r w:rsidRPr="005364D7">
              <w:rPr>
                <w:rFonts w:ascii="Times New Roman" w:hAnsi="Times New Roman" w:cs="Times New Roman"/>
                <w:lang w:val="es-MX"/>
              </w:rPr>
              <w:t>No.6 .</w:t>
            </w:r>
            <w:proofErr w:type="gramEnd"/>
            <w:r w:rsidRPr="005364D7">
              <w:rPr>
                <w:rFonts w:ascii="Times New Roman" w:hAnsi="Times New Roman" w:cs="Times New Roman"/>
                <w:lang w:val="es-MX"/>
              </w:rPr>
              <w:t xml:space="preserve"> </w:t>
            </w:r>
          </w:p>
          <w:p w:rsidR="00920BA5" w:rsidRPr="005364D7" w:rsidRDefault="00920BA5" w:rsidP="00920BA5">
            <w:pPr>
              <w:pStyle w:val="HTMLPreformatted"/>
              <w:spacing w:line="240" w:lineRule="auto"/>
              <w:rPr>
                <w:rFonts w:ascii="Times New Roman" w:hAnsi="Times New Roman" w:cs="Times New Roman"/>
                <w:lang w:val="es-MX"/>
              </w:rPr>
            </w:pPr>
            <w:r w:rsidRPr="005364D7">
              <w:rPr>
                <w:rFonts w:ascii="Times New Roman" w:hAnsi="Times New Roman" w:cs="Times New Roman"/>
                <w:lang w:val="es-MX"/>
              </w:rPr>
              <w:t xml:space="preserve">TITULO:   </w:t>
            </w:r>
          </w:p>
          <w:p w:rsidR="00920BA5" w:rsidRPr="005364D7" w:rsidRDefault="00920BA5" w:rsidP="00920BA5">
            <w:pPr>
              <w:pStyle w:val="HTMLPreformatted"/>
              <w:spacing w:line="240" w:lineRule="auto"/>
              <w:rPr>
                <w:rFonts w:ascii="Times New Roman" w:hAnsi="Times New Roman" w:cs="Times New Roman"/>
                <w:lang w:val="es-MX"/>
              </w:rPr>
            </w:pPr>
            <w:r w:rsidRPr="005364D7">
              <w:rPr>
                <w:rFonts w:ascii="Times New Roman" w:hAnsi="Times New Roman" w:cs="Times New Roman"/>
                <w:lang w:val="es-MX"/>
              </w:rPr>
              <w:fldChar w:fldCharType="begin"/>
            </w:r>
            <w:r w:rsidRPr="005364D7">
              <w:rPr>
                <w:rFonts w:ascii="Times New Roman" w:hAnsi="Times New Roman" w:cs="Times New Roman"/>
                <w:lang w:val="es-MX"/>
              </w:rPr>
              <w:instrText xml:space="preserve"> HYPERLINK "http://dge1.insp.mx/salud/36/366-4s.html" </w:instrText>
            </w:r>
            <w:r w:rsidRPr="005364D7">
              <w:rPr>
                <w:rFonts w:ascii="Times New Roman" w:hAnsi="Times New Roman" w:cs="Times New Roman"/>
                <w:lang w:val="es-MX"/>
              </w:rPr>
            </w:r>
            <w:r w:rsidRPr="005364D7">
              <w:rPr>
                <w:rFonts w:ascii="Times New Roman" w:hAnsi="Times New Roman" w:cs="Times New Roman"/>
                <w:lang w:val="es-MX"/>
              </w:rPr>
              <w:fldChar w:fldCharType="separate"/>
            </w:r>
            <w:r w:rsidRPr="005364D7">
              <w:rPr>
                <w:rStyle w:val="Hyperlink"/>
                <w:rFonts w:ascii="Times New Roman" w:hAnsi="Times New Roman" w:cs="Times New Roman"/>
                <w:lang w:val="es-MX"/>
              </w:rPr>
              <w:t>EL TLC: UN RETO Y UNA OPORTUNIDAD PARA LA SALUD  AMBIENTAL. EL CASO DE LAS MAQUILADORAS</w:t>
            </w:r>
            <w:r w:rsidRPr="005364D7">
              <w:rPr>
                <w:rFonts w:ascii="Times New Roman" w:hAnsi="Times New Roman" w:cs="Times New Roman"/>
                <w:lang w:val="es-MX"/>
              </w:rPr>
              <w:fldChar w:fldCharType="end"/>
            </w:r>
            <w:r w:rsidRPr="005364D7">
              <w:rPr>
                <w:rFonts w:ascii="Times New Roman" w:hAnsi="Times New Roman" w:cs="Times New Roman"/>
                <w:lang w:val="es-MX"/>
              </w:rPr>
              <w:t>.</w:t>
            </w:r>
          </w:p>
          <w:p w:rsidR="00920BA5" w:rsidRPr="005364D7" w:rsidRDefault="00920BA5" w:rsidP="00920BA5">
            <w:pPr>
              <w:pStyle w:val="HTMLPreformatted"/>
              <w:spacing w:line="240" w:lineRule="auto"/>
              <w:rPr>
                <w:rFonts w:ascii="Times New Roman" w:hAnsi="Times New Roman" w:cs="Times New Roman"/>
                <w:lang w:val="es-MX"/>
              </w:rPr>
            </w:pPr>
            <w:r w:rsidRPr="005364D7">
              <w:rPr>
                <w:rFonts w:ascii="Times New Roman" w:hAnsi="Times New Roman" w:cs="Times New Roman"/>
                <w:lang w:val="es-MX"/>
              </w:rPr>
              <w:t xml:space="preserve">AUTORES:   </w:t>
            </w:r>
          </w:p>
          <w:p w:rsidR="00920BA5" w:rsidRPr="005364D7" w:rsidRDefault="00920BA5" w:rsidP="00920BA5">
            <w:pPr>
              <w:pStyle w:val="HTMLPreformatted"/>
              <w:spacing w:line="240" w:lineRule="auto"/>
              <w:rPr>
                <w:rFonts w:ascii="Times New Roman" w:hAnsi="Times New Roman" w:cs="Times New Roman"/>
                <w:lang w:val="es-MX"/>
              </w:rPr>
            </w:pPr>
            <w:r w:rsidRPr="005364D7">
              <w:rPr>
                <w:rFonts w:ascii="Times New Roman" w:hAnsi="Times New Roman" w:cs="Times New Roman"/>
                <w:lang w:val="es-MX"/>
              </w:rPr>
              <w:t xml:space="preserve">      FELIPE ESPINOSA-TORRES, M.C., M. EN S.A. </w:t>
            </w:r>
          </w:p>
          <w:p w:rsidR="00920BA5" w:rsidRPr="005364D7" w:rsidRDefault="00920BA5" w:rsidP="00920BA5">
            <w:pPr>
              <w:pStyle w:val="HTMLPreformatted"/>
              <w:spacing w:line="240" w:lineRule="auto"/>
              <w:rPr>
                <w:rFonts w:ascii="Times New Roman" w:hAnsi="Times New Roman" w:cs="Times New Roman"/>
                <w:lang w:val="es-MX"/>
              </w:rPr>
            </w:pPr>
            <w:r w:rsidRPr="005364D7">
              <w:rPr>
                <w:rFonts w:ascii="Times New Roman" w:hAnsi="Times New Roman" w:cs="Times New Roman"/>
                <w:lang w:val="es-MX"/>
              </w:rPr>
              <w:t xml:space="preserve">      MAURICIO HERNANDEZ-AVILA, M.C., D. SC. </w:t>
            </w:r>
          </w:p>
          <w:p w:rsidR="00920BA5" w:rsidRPr="005364D7" w:rsidRDefault="00920BA5" w:rsidP="00920BA5">
            <w:pPr>
              <w:pStyle w:val="HTMLPreformatted"/>
              <w:spacing w:line="240" w:lineRule="auto"/>
              <w:rPr>
                <w:rFonts w:ascii="Times New Roman" w:hAnsi="Times New Roman" w:cs="Times New Roman"/>
                <w:lang w:val="es-MX"/>
              </w:rPr>
            </w:pPr>
            <w:r w:rsidRPr="005364D7">
              <w:rPr>
                <w:rFonts w:ascii="Times New Roman" w:hAnsi="Times New Roman" w:cs="Times New Roman"/>
                <w:lang w:val="es-MX"/>
              </w:rPr>
              <w:t xml:space="preserve">      LIZBETH LOPEZ-CARRILLO, DR. EN S.P.</w:t>
            </w:r>
          </w:p>
          <w:p w:rsidR="00920BA5" w:rsidRPr="005364D7" w:rsidRDefault="00920BA5" w:rsidP="00920BA5">
            <w:pPr>
              <w:pStyle w:val="HTMLPreformatted"/>
              <w:spacing w:line="240" w:lineRule="auto"/>
              <w:rPr>
                <w:rFonts w:ascii="Times New Roman" w:hAnsi="Times New Roman" w:cs="Times New Roman"/>
                <w:lang w:val="es-MX"/>
              </w:rPr>
            </w:pPr>
          </w:p>
          <w:p w:rsidR="00920BA5" w:rsidRPr="005364D7" w:rsidRDefault="00920BA5" w:rsidP="00567331">
            <w:pPr>
              <w:pStyle w:val="HTMLPreformatted"/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es-MX"/>
              </w:rPr>
            </w:pPr>
            <w:r w:rsidRPr="005364D7">
              <w:rPr>
                <w:rFonts w:ascii="Times New Roman" w:hAnsi="Times New Roman" w:cs="Times New Roman"/>
                <w:lang w:val="es-MX"/>
              </w:rPr>
              <w:t>CUADRO I. Poblaciones de las Ciudades Hermanas de la Frontera México-EUA 1990.</w:t>
            </w:r>
          </w:p>
          <w:p w:rsidR="00920BA5" w:rsidRPr="005364D7" w:rsidRDefault="00920BA5" w:rsidP="00567331">
            <w:pPr>
              <w:pStyle w:val="HTMLPreformatted"/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es-MX"/>
              </w:rPr>
            </w:pPr>
            <w:r w:rsidRPr="005364D7">
              <w:rPr>
                <w:rFonts w:ascii="Times New Roman" w:hAnsi="Times New Roman" w:cs="Times New Roman"/>
                <w:lang w:val="es-MX"/>
              </w:rPr>
              <w:t>Comparación   de   los    salarios   de   los    trabajadores  estadounidenses con los salarios de los trabajadores; de  las maquiladoras en México (dólares estadounidenses).</w:t>
            </w:r>
          </w:p>
          <w:p w:rsidR="00920BA5" w:rsidRPr="005364D7" w:rsidRDefault="00920BA5" w:rsidP="00567331">
            <w:pPr>
              <w:pStyle w:val="HTMLPreformatted"/>
              <w:numPr>
                <w:ilvl w:val="0"/>
                <w:numId w:val="6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es-MX"/>
              </w:rPr>
            </w:pPr>
            <w:r w:rsidRPr="005364D7">
              <w:rPr>
                <w:rFonts w:ascii="Times New Roman" w:hAnsi="Times New Roman" w:cs="Times New Roman"/>
                <w:lang w:val="es-MX"/>
              </w:rPr>
              <w:t>CUADRO VI. Calidad del aire en la frontera México-Estados Unidos.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color w:val="000000"/>
                <w:sz w:val="20"/>
                <w:szCs w:val="20"/>
                <w:lang w:val="es-MX"/>
              </w:rPr>
            </w:pPr>
            <w:r w:rsidRPr="005364D7">
              <w:rPr>
                <w:color w:val="000000"/>
                <w:sz w:val="20"/>
                <w:szCs w:val="20"/>
                <w:lang w:val="es-MX"/>
              </w:rPr>
              <w:t>http://dge1.insp.mx/salud/36/366-4s.html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Chávez, A. M. 1993. Encuestas demográficas de Baja California 1986. </w:t>
            </w:r>
            <w:r w:rsidRPr="005364D7">
              <w:rPr>
                <w:i/>
                <w:iCs/>
                <w:sz w:val="20"/>
                <w:szCs w:val="20"/>
                <w:lang w:val="es-MX"/>
              </w:rPr>
              <w:t>Frontera Norte, COLEF</w:t>
            </w:r>
            <w:r w:rsidRPr="005364D7">
              <w:rPr>
                <w:sz w:val="20"/>
                <w:szCs w:val="20"/>
                <w:lang w:val="es-MX"/>
              </w:rPr>
              <w:t>, Vol. 5, No. 9 (Demografía), ene-jun 1993: 17.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Canales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Céron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, A. 1995. El poblamiento de Baja California. 1848-1950. </w:t>
            </w:r>
            <w:r w:rsidRPr="005364D7">
              <w:rPr>
                <w:i/>
                <w:iCs/>
                <w:sz w:val="20"/>
                <w:szCs w:val="20"/>
                <w:lang w:val="es-MX"/>
              </w:rPr>
              <w:t>Frontera Norte, COLEF</w:t>
            </w:r>
            <w:r w:rsidRPr="005364D7">
              <w:rPr>
                <w:sz w:val="20"/>
                <w:szCs w:val="20"/>
                <w:lang w:val="es-MX"/>
              </w:rPr>
              <w:t>, Vol. 7, No. 13 (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Population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>), Enero-Junio 1995: 20.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Estrella Valenzuela, G. 1995. Política de Desarrollo y Comportamiento Demográfico en la Frontera Norte de México. In </w:t>
            </w:r>
            <w:r w:rsidRPr="005364D7">
              <w:rPr>
                <w:i/>
                <w:iCs/>
                <w:sz w:val="20"/>
                <w:szCs w:val="20"/>
                <w:lang w:val="es-MX"/>
              </w:rPr>
              <w:t>Cambio socioeconómico y población en la región fronteriza norte de México</w:t>
            </w:r>
            <w:r w:rsidRPr="005364D7">
              <w:rPr>
                <w:sz w:val="20"/>
                <w:szCs w:val="20"/>
                <w:lang w:val="es-MX"/>
              </w:rPr>
              <w:t>. Política de Desarrollo y Comportamiento Demográfico en la Frontera Norte de México. UABC.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Méndez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Mungaray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, E.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Indice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de calidad de vida en la frontera. . </w:t>
            </w:r>
            <w:proofErr w:type="spellStart"/>
            <w:proofErr w:type="gramStart"/>
            <w:r w:rsidRPr="005364D7">
              <w:rPr>
                <w:sz w:val="20"/>
                <w:szCs w:val="20"/>
                <w:lang w:val="es-MX"/>
              </w:rPr>
              <w:t>articulos</w:t>
            </w:r>
            <w:proofErr w:type="spellEnd"/>
            <w:proofErr w:type="gramEnd"/>
            <w:r w:rsidRPr="005364D7">
              <w:rPr>
                <w:sz w:val="20"/>
                <w:szCs w:val="20"/>
                <w:lang w:val="es-MX"/>
              </w:rPr>
              <w:t xml:space="preserve"> publicados por investigadores de COLEF;  en Hemeroteca COLEF.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jc w:val="both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Alegría O., T. 1991. Crecimiento Urbano y Servicios Públicos en la Frontera Norte de México. In III Reunión Nacional sobre Estudios Fronterizos - ANUIES. Tampico, Tamaulipas: Departamento de Estudios Urbanos y Medio Ambiente. COLEF.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Guillen López, Tonatiuh. </w:t>
            </w:r>
            <w:proofErr w:type="spellStart"/>
            <w:proofErr w:type="gramStart"/>
            <w:r w:rsidRPr="005364D7">
              <w:rPr>
                <w:sz w:val="20"/>
                <w:szCs w:val="20"/>
                <w:lang w:val="es-MX"/>
              </w:rPr>
              <w:t>nd</w:t>
            </w:r>
            <w:proofErr w:type="spellEnd"/>
            <w:proofErr w:type="gramEnd"/>
            <w:r w:rsidRPr="005364D7">
              <w:rPr>
                <w:sz w:val="20"/>
                <w:szCs w:val="20"/>
                <w:lang w:val="es-MX"/>
              </w:rPr>
              <w:t xml:space="preserve">. </w:t>
            </w:r>
            <w:r w:rsidRPr="005364D7">
              <w:rPr>
                <w:i/>
                <w:iCs/>
                <w:sz w:val="20"/>
                <w:szCs w:val="20"/>
                <w:lang w:val="es-MX"/>
              </w:rPr>
              <w:t xml:space="preserve">Gobernabilidad y gestión local en </w:t>
            </w:r>
            <w:proofErr w:type="spellStart"/>
            <w:r w:rsidRPr="005364D7">
              <w:rPr>
                <w:i/>
                <w:iCs/>
                <w:sz w:val="20"/>
                <w:szCs w:val="20"/>
                <w:lang w:val="es-MX"/>
              </w:rPr>
              <w:t>Mexico</w:t>
            </w:r>
            <w:proofErr w:type="spellEnd"/>
            <w:r w:rsidRPr="005364D7">
              <w:rPr>
                <w:i/>
                <w:iCs/>
                <w:sz w:val="20"/>
                <w:szCs w:val="20"/>
                <w:lang w:val="es-MX"/>
              </w:rPr>
              <w:t>: El caso de Tijuana, B.C., 1989–1997</w:t>
            </w:r>
            <w:r w:rsidRPr="005364D7">
              <w:rPr>
                <w:sz w:val="20"/>
                <w:szCs w:val="20"/>
                <w:lang w:val="es-MX"/>
              </w:rPr>
              <w:t>. Tijuana: El Colegio de la Frontera Norte (borrador preliminar).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Guillen López, Tonatiuh. </w:t>
            </w:r>
            <w:r w:rsidRPr="005364D7">
              <w:rPr>
                <w:sz w:val="20"/>
                <w:szCs w:val="20"/>
              </w:rPr>
              <w:t xml:space="preserve">1993. “Municipal Government and </w:t>
            </w:r>
            <w:proofErr w:type="gramStart"/>
            <w:r w:rsidRPr="005364D7">
              <w:rPr>
                <w:sz w:val="20"/>
                <w:szCs w:val="20"/>
              </w:rPr>
              <w:t>Development  in</w:t>
            </w:r>
            <w:proofErr w:type="gramEnd"/>
            <w:r w:rsidRPr="005364D7">
              <w:rPr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.” In </w:t>
            </w:r>
            <w:r w:rsidRPr="005364D7">
              <w:rPr>
                <w:i/>
                <w:iCs/>
                <w:sz w:val="20"/>
                <w:szCs w:val="20"/>
              </w:rPr>
              <w:t xml:space="preserve">San Diego-Tijuana in Transition: A Regional Analysis, </w:t>
            </w:r>
            <w:r w:rsidRPr="005364D7">
              <w:rPr>
                <w:sz w:val="20"/>
                <w:szCs w:val="20"/>
              </w:rPr>
              <w:t xml:space="preserve">N.C. Clement and E.Z. </w:t>
            </w:r>
            <w:proofErr w:type="spellStart"/>
            <w:r w:rsidRPr="005364D7">
              <w:rPr>
                <w:sz w:val="20"/>
                <w:szCs w:val="20"/>
              </w:rPr>
              <w:t>Miramontes</w:t>
            </w:r>
            <w:proofErr w:type="spellEnd"/>
            <w:r w:rsidRPr="005364D7">
              <w:rPr>
                <w:sz w:val="20"/>
                <w:szCs w:val="20"/>
              </w:rPr>
              <w:t xml:space="preserve">, eds.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: </w:t>
            </w:r>
            <w:proofErr w:type="gramStart"/>
            <w:r w:rsidRPr="005364D7">
              <w:rPr>
                <w:sz w:val="20"/>
                <w:szCs w:val="20"/>
              </w:rPr>
              <w:t>Institute  for</w:t>
            </w:r>
            <w:proofErr w:type="gramEnd"/>
            <w:r w:rsidRPr="005364D7">
              <w:rPr>
                <w:sz w:val="20"/>
                <w:szCs w:val="20"/>
              </w:rPr>
              <w:t xml:space="preserve"> Regional Studies of the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Californias</w:t>
                </w:r>
              </w:smartTag>
            </w:smartTag>
            <w:proofErr w:type="spellEnd"/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noProof/>
                <w:sz w:val="20"/>
                <w:szCs w:val="20"/>
              </w:rPr>
              <w:pict>
                <v:line id="_x0000_s1113" style="position:absolute;z-index:1" from="-5.4pt,2.5pt" to="354.6pt,2.5pt"/>
              </w:pict>
            </w:r>
          </w:p>
          <w:p w:rsidR="00920BA5" w:rsidRPr="005364D7" w:rsidRDefault="00920BA5" w:rsidP="00920BA5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Guillen López, Tonatiuh. 1996. </w:t>
            </w:r>
            <w:r w:rsidRPr="005364D7">
              <w:rPr>
                <w:i/>
                <w:iCs/>
                <w:sz w:val="20"/>
                <w:szCs w:val="20"/>
                <w:lang w:val="es-MX"/>
              </w:rPr>
              <w:t xml:space="preserve">Gobiernos municipales en </w:t>
            </w:r>
            <w:proofErr w:type="spellStart"/>
            <w:r w:rsidRPr="005364D7">
              <w:rPr>
                <w:i/>
                <w:iCs/>
                <w:sz w:val="20"/>
                <w:szCs w:val="20"/>
                <w:lang w:val="es-MX"/>
              </w:rPr>
              <w:t>Mexico</w:t>
            </w:r>
            <w:proofErr w:type="spellEnd"/>
            <w:r w:rsidRPr="005364D7">
              <w:rPr>
                <w:i/>
                <w:iCs/>
                <w:sz w:val="20"/>
                <w:szCs w:val="20"/>
                <w:lang w:val="es-MX"/>
              </w:rPr>
              <w:t xml:space="preserve">: Entre la modernización y la tradición </w:t>
            </w:r>
            <w:proofErr w:type="spellStart"/>
            <w:r w:rsidRPr="005364D7">
              <w:rPr>
                <w:i/>
                <w:iCs/>
                <w:sz w:val="20"/>
                <w:szCs w:val="20"/>
                <w:lang w:val="es-MX"/>
              </w:rPr>
              <w:t>politica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>. Tijuana: El Colegio de la Frontera Norte.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Tamayo, J., and J.L. Fernández. 1983. </w:t>
            </w:r>
            <w:r w:rsidRPr="005364D7">
              <w:rPr>
                <w:i/>
                <w:iCs/>
                <w:sz w:val="20"/>
                <w:szCs w:val="20"/>
                <w:lang w:val="es-MX"/>
              </w:rPr>
              <w:t>Zonas fronterizas</w:t>
            </w:r>
            <w:r w:rsidRPr="005364D7">
              <w:rPr>
                <w:sz w:val="20"/>
                <w:szCs w:val="20"/>
                <w:lang w:val="es-MX"/>
              </w:rPr>
              <w:t>. México, D.F.: CIDE.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  <w:proofErr w:type="spellStart"/>
            <w:r w:rsidRPr="005364D7">
              <w:rPr>
                <w:sz w:val="20"/>
                <w:szCs w:val="20"/>
                <w:lang w:val="es-MX"/>
              </w:rPr>
              <w:t>Hiernaux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, D. 1986. </w:t>
            </w:r>
            <w:r w:rsidRPr="005364D7">
              <w:rPr>
                <w:i/>
                <w:iCs/>
                <w:sz w:val="20"/>
                <w:szCs w:val="20"/>
                <w:lang w:val="es-MX"/>
              </w:rPr>
              <w:t>Urbanización y autoconstrucción de vivienda en Tijuana</w:t>
            </w:r>
            <w:r w:rsidRPr="005364D7">
              <w:rPr>
                <w:sz w:val="20"/>
                <w:szCs w:val="20"/>
                <w:lang w:val="es-MX"/>
              </w:rPr>
              <w:t xml:space="preserve">. México, D.F.: Centro de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Ecodesarrollo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>.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  <w:proofErr w:type="spellStart"/>
            <w:r w:rsidRPr="005364D7">
              <w:rPr>
                <w:sz w:val="20"/>
                <w:szCs w:val="20"/>
                <w:lang w:val="es-MX"/>
              </w:rPr>
              <w:lastRenderedPageBreak/>
              <w:t>Aguila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, S.O. 1996. </w:t>
            </w:r>
            <w:proofErr w:type="spellStart"/>
            <w:r w:rsidRPr="005364D7">
              <w:rPr>
                <w:i/>
                <w:iCs/>
                <w:sz w:val="20"/>
                <w:szCs w:val="20"/>
                <w:lang w:val="es-MX"/>
              </w:rPr>
              <w:t>Seroprevalencia</w:t>
            </w:r>
            <w:proofErr w:type="spellEnd"/>
            <w:r w:rsidRPr="005364D7">
              <w:rPr>
                <w:i/>
                <w:iCs/>
                <w:sz w:val="20"/>
                <w:szCs w:val="20"/>
                <w:lang w:val="es-MX"/>
              </w:rPr>
              <w:t xml:space="preserve"> A Toxoplasma </w:t>
            </w:r>
            <w:proofErr w:type="spellStart"/>
            <w:r w:rsidRPr="005364D7">
              <w:rPr>
                <w:i/>
                <w:iCs/>
                <w:sz w:val="20"/>
                <w:szCs w:val="20"/>
                <w:lang w:val="es-MX"/>
              </w:rPr>
              <w:t>gondii</w:t>
            </w:r>
            <w:proofErr w:type="spellEnd"/>
            <w:r w:rsidRPr="005364D7">
              <w:rPr>
                <w:i/>
                <w:iCs/>
                <w:sz w:val="20"/>
                <w:szCs w:val="20"/>
                <w:lang w:val="es-MX"/>
              </w:rPr>
              <w:t xml:space="preserve"> en </w:t>
            </w:r>
            <w:proofErr w:type="spellStart"/>
            <w:r w:rsidRPr="005364D7">
              <w:rPr>
                <w:i/>
                <w:iCs/>
                <w:sz w:val="20"/>
                <w:szCs w:val="20"/>
                <w:lang w:val="es-MX"/>
              </w:rPr>
              <w:t>poblacion</w:t>
            </w:r>
            <w:proofErr w:type="spellEnd"/>
            <w:r w:rsidRPr="005364D7">
              <w:rPr>
                <w:i/>
                <w:iCs/>
                <w:sz w:val="20"/>
                <w:szCs w:val="20"/>
                <w:lang w:val="es-MX"/>
              </w:rPr>
              <w:t xml:space="preserve"> trabajadora de establos. </w:t>
            </w:r>
            <w:r w:rsidRPr="005364D7">
              <w:rPr>
                <w:sz w:val="20"/>
                <w:szCs w:val="20"/>
                <w:lang w:val="es-MX"/>
              </w:rPr>
              <w:t>Universidad Autónoma de Baja California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En el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Area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aledaña a la Ciudad de Tecate (zona de establos) se realizaron estudios que demostraron positividad al contacto con Toxoplasma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gondii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, parásito intracelular que se transmite por diferentes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vias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(oral, nasal,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cutanea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trasplacentaria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, </w:t>
            </w:r>
            <w:proofErr w:type="gramStart"/>
            <w:r w:rsidRPr="005364D7">
              <w:rPr>
                <w:sz w:val="20"/>
                <w:szCs w:val="20"/>
                <w:lang w:val="es-MX"/>
              </w:rPr>
              <w:t>etc..</w:t>
            </w:r>
            <w:proofErr w:type="gramEnd"/>
            <w:r w:rsidRPr="005364D7">
              <w:rPr>
                <w:sz w:val="20"/>
                <w:szCs w:val="20"/>
                <w:lang w:val="es-MX"/>
              </w:rPr>
              <w:t>) y que causa la toxoplasmosis, enfermedad de difícil manejo y con repercusiones graves sobre la salud del individuo que la padece.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Brito, P.M. 1997. </w:t>
            </w:r>
            <w:r w:rsidRPr="005364D7">
              <w:rPr>
                <w:i/>
                <w:iCs/>
                <w:sz w:val="20"/>
                <w:szCs w:val="20"/>
                <w:lang w:val="es-MX"/>
              </w:rPr>
              <w:t>Etiología y frecuencia de infecciones nosocomiales en hospitales públicos de Tijuana, B.C</w:t>
            </w:r>
            <w:r w:rsidRPr="005364D7">
              <w:rPr>
                <w:sz w:val="20"/>
                <w:szCs w:val="20"/>
                <w:lang w:val="es-MX"/>
              </w:rPr>
              <w:t xml:space="preserve">. Facultad de Medicina,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Univeridad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Autónoma de Baja California.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Herrán, P.E. 1995. </w:t>
            </w:r>
            <w:r w:rsidRPr="005364D7">
              <w:rPr>
                <w:i/>
                <w:iCs/>
                <w:sz w:val="20"/>
                <w:szCs w:val="20"/>
                <w:lang w:val="es-MX"/>
              </w:rPr>
              <w:t>Evaluación del diagnóstico y tratamiento del paciente con Tuberculosis Pulmonar</w:t>
            </w:r>
            <w:r w:rsidRPr="005364D7">
              <w:rPr>
                <w:sz w:val="20"/>
                <w:szCs w:val="20"/>
                <w:lang w:val="es-MX"/>
              </w:rPr>
              <w:t xml:space="preserve">. Universidad Autónoma de Baja California, Instituto Mexicano del Seguro Social. 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ab/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5364D7">
              <w:rPr>
                <w:sz w:val="20"/>
                <w:szCs w:val="20"/>
                <w:lang w:val="es-MX"/>
              </w:rPr>
              <w:t>Laniado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, LT., Cárdenas, M.R. 1991. Tijuana: Zona endémica de infección por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Coccidioides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immitis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5364D7">
              <w:rPr>
                <w:i/>
                <w:iCs/>
                <w:sz w:val="20"/>
                <w:szCs w:val="20"/>
              </w:rPr>
              <w:t>Revista</w:t>
            </w:r>
            <w:proofErr w:type="spellEnd"/>
            <w:r w:rsidRPr="005364D7">
              <w:rPr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5364D7">
              <w:rPr>
                <w:i/>
                <w:iCs/>
                <w:sz w:val="20"/>
                <w:szCs w:val="20"/>
              </w:rPr>
              <w:t>Salud</w:t>
            </w:r>
            <w:proofErr w:type="spellEnd"/>
            <w:r w:rsidRPr="005364D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364D7">
              <w:rPr>
                <w:i/>
                <w:iCs/>
                <w:sz w:val="20"/>
                <w:szCs w:val="20"/>
              </w:rPr>
              <w:t>Pública</w:t>
            </w:r>
            <w:proofErr w:type="spellEnd"/>
            <w:r w:rsidRPr="005364D7">
              <w:rPr>
                <w:i/>
                <w:iCs/>
                <w:sz w:val="20"/>
                <w:szCs w:val="20"/>
              </w:rPr>
              <w:t xml:space="preserve"> de México</w:t>
            </w:r>
            <w:r w:rsidRPr="005364D7">
              <w:rPr>
                <w:sz w:val="20"/>
                <w:szCs w:val="20"/>
              </w:rPr>
              <w:t>, p 235-239.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 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06EEB" w:rsidRPr="0002156D" w:rsidRDefault="00F06EEB" w:rsidP="00C071F9">
      <w:pPr>
        <w:pStyle w:val="BodyText"/>
      </w:pPr>
      <w:bookmarkStart w:id="2" w:name="_GoBack"/>
      <w:bookmarkEnd w:id="2"/>
    </w:p>
    <w:sectPr w:rsidR="00F06EEB" w:rsidRPr="0002156D" w:rsidSect="00C071F9">
      <w:headerReference w:type="default" r:id="rId9"/>
      <w:type w:val="continuous"/>
      <w:pgSz w:w="15840" w:h="12240" w:orient="landscape" w:code="1"/>
      <w:pgMar w:top="1800" w:right="720" w:bottom="1080" w:left="720" w:header="432" w:footer="432" w:gutter="0"/>
      <w:cols w:space="720"/>
      <w:docGrid w:linePitch="360"/>
      <w:sectPrChange w:id="3" w:author="CAL" w:date="2013-02-26T12:50:00Z">
        <w:sectPr w:rsidR="00F06EEB" w:rsidRPr="0002156D" w:rsidSect="00C071F9">
          <w:pgSz w:w="12240" w:h="15840" w:orient="portrait"/>
          <w:pgMar w:top="720" w:right="1080" w:bottom="720" w:left="1800" w:header="432" w:footer="43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28" w:rsidRDefault="00AD2128">
      <w:pPr>
        <w:spacing w:line="240" w:lineRule="auto"/>
      </w:pPr>
      <w:r>
        <w:separator/>
      </w:r>
    </w:p>
  </w:endnote>
  <w:endnote w:type="continuationSeparator" w:id="0">
    <w:p w:rsidR="00AD2128" w:rsidRDefault="00AD2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 Extra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28" w:rsidRDefault="00AD2128">
      <w:pPr>
        <w:spacing w:line="240" w:lineRule="auto"/>
      </w:pPr>
      <w:r>
        <w:separator/>
      </w:r>
    </w:p>
  </w:footnote>
  <w:footnote w:type="continuationSeparator" w:id="0">
    <w:p w:rsidR="00AD2128" w:rsidRDefault="00AD2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Default="00B154BC">
    <w:pPr>
      <w:pStyle w:val="Header"/>
      <w:jc w:val="center"/>
      <w:rPr>
        <w:b/>
        <w:bCs/>
        <w:lang w:val="es-CL"/>
      </w:rPr>
    </w:pPr>
  </w:p>
  <w:p w:rsidR="00B154BC" w:rsidRPr="00370DB4" w:rsidRDefault="00B154BC">
    <w:pPr>
      <w:pStyle w:val="Header"/>
      <w:jc w:val="center"/>
      <w:rPr>
        <w:b/>
        <w:bCs/>
        <w:lang w:val="es-C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Pr="0002156D" w:rsidRDefault="00B154BC" w:rsidP="0002156D">
    <w:pPr>
      <w:spacing w:line="240" w:lineRule="auto"/>
      <w:ind w:left="-360"/>
      <w:jc w:val="center"/>
      <w:rPr>
        <w:sz w:val="22"/>
        <w:szCs w:val="22"/>
      </w:rPr>
    </w:pPr>
    <w:r w:rsidRPr="0002156D">
      <w:rPr>
        <w:sz w:val="22"/>
        <w:szCs w:val="22"/>
      </w:rPr>
      <w:t>13. Minutes from 2004 stakeholder meeting</w:t>
    </w:r>
  </w:p>
  <w:p w:rsidR="00B154BC" w:rsidRDefault="00B154BC" w:rsidP="00A77FA1">
    <w:pPr>
      <w:spacing w:line="240" w:lineRule="auto"/>
      <w:ind w:left="-360"/>
      <w:jc w:val="center"/>
      <w:rPr>
        <w:sz w:val="22"/>
        <w:szCs w:val="22"/>
      </w:rPr>
    </w:pPr>
  </w:p>
  <w:p w:rsidR="00B154BC" w:rsidRDefault="00B154BC" w:rsidP="00A77FA1">
    <w:pPr>
      <w:spacing w:line="240" w:lineRule="auto"/>
      <w:ind w:left="-360"/>
      <w:jc w:val="center"/>
      <w:rPr>
        <w:sz w:val="22"/>
        <w:szCs w:val="22"/>
      </w:rPr>
    </w:pPr>
  </w:p>
  <w:p w:rsidR="00B154BC" w:rsidRPr="009872A7" w:rsidRDefault="00B154BC" w:rsidP="00A77FA1">
    <w:pPr>
      <w:spacing w:line="240" w:lineRule="auto"/>
      <w:ind w:left="-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882C3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ACEBB0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7A2126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F0C5F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6647E2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B8A08C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610D2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0F45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72EB30"/>
    <w:lvl w:ilvl="0">
      <w:start w:val="1"/>
      <w:numFmt w:val="decimal"/>
      <w:pStyle w:val="ListContinue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631BE"/>
    <w:lvl w:ilvl="0">
      <w:start w:val="1"/>
      <w:numFmt w:val="bullet"/>
      <w:pStyle w:val="Lis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4238"/>
    <w:multiLevelType w:val="hybridMultilevel"/>
    <w:tmpl w:val="4A3C4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D6262"/>
    <w:multiLevelType w:val="hybridMultilevel"/>
    <w:tmpl w:val="3DC0687C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AE06A3"/>
    <w:multiLevelType w:val="hybridMultilevel"/>
    <w:tmpl w:val="9C9CA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2811C1"/>
    <w:multiLevelType w:val="hybridMultilevel"/>
    <w:tmpl w:val="89085F0A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F415E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154685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3A3515"/>
    <w:multiLevelType w:val="hybridMultilevel"/>
    <w:tmpl w:val="6C28B32E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A22237"/>
    <w:multiLevelType w:val="hybridMultilevel"/>
    <w:tmpl w:val="BCDA6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D21C84"/>
    <w:multiLevelType w:val="hybridMultilevel"/>
    <w:tmpl w:val="7ABE48C4"/>
    <w:lvl w:ilvl="0" w:tplc="8820D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09463A"/>
    <w:multiLevelType w:val="hybridMultilevel"/>
    <w:tmpl w:val="97C00484"/>
    <w:lvl w:ilvl="0" w:tplc="04090005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176114D1"/>
    <w:multiLevelType w:val="hybridMultilevel"/>
    <w:tmpl w:val="A438760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BC4F23"/>
    <w:multiLevelType w:val="hybridMultilevel"/>
    <w:tmpl w:val="B6881FAA"/>
    <w:lvl w:ilvl="0" w:tplc="320E9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18F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508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C146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21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C88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82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B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8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E148DA"/>
    <w:multiLevelType w:val="hybridMultilevel"/>
    <w:tmpl w:val="4CCC8B3A"/>
    <w:lvl w:ilvl="0" w:tplc="AB08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403E4"/>
    <w:multiLevelType w:val="hybridMultilevel"/>
    <w:tmpl w:val="6A6AFC8C"/>
    <w:lvl w:ilvl="0" w:tplc="040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B474D9"/>
    <w:multiLevelType w:val="hybridMultilevel"/>
    <w:tmpl w:val="E60E5F86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0227014"/>
    <w:multiLevelType w:val="hybridMultilevel"/>
    <w:tmpl w:val="60889FAC"/>
    <w:lvl w:ilvl="0" w:tplc="AB08C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6A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7C546B"/>
    <w:multiLevelType w:val="hybridMultilevel"/>
    <w:tmpl w:val="8278A3B4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72D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1B27A3"/>
    <w:multiLevelType w:val="hybridMultilevel"/>
    <w:tmpl w:val="BB60DD94"/>
    <w:lvl w:ilvl="0" w:tplc="040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25D22763"/>
    <w:multiLevelType w:val="hybridMultilevel"/>
    <w:tmpl w:val="7EBA2024"/>
    <w:lvl w:ilvl="0" w:tplc="C9D6A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B16875"/>
    <w:multiLevelType w:val="hybridMultilevel"/>
    <w:tmpl w:val="4558A444"/>
    <w:lvl w:ilvl="0" w:tplc="0409000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AE08B6"/>
    <w:multiLevelType w:val="hybridMultilevel"/>
    <w:tmpl w:val="D88CF74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1F00C1"/>
    <w:multiLevelType w:val="hybridMultilevel"/>
    <w:tmpl w:val="149042E2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851088"/>
    <w:multiLevelType w:val="hybridMultilevel"/>
    <w:tmpl w:val="BC9AF87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>
    <w:nsid w:val="31BA6859"/>
    <w:multiLevelType w:val="hybridMultilevel"/>
    <w:tmpl w:val="EB92F34C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8134C6"/>
    <w:multiLevelType w:val="hybridMultilevel"/>
    <w:tmpl w:val="779C17BE"/>
    <w:lvl w:ilvl="0" w:tplc="040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344508F4"/>
    <w:multiLevelType w:val="hybridMultilevel"/>
    <w:tmpl w:val="8E282BC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6F76422"/>
    <w:multiLevelType w:val="hybridMultilevel"/>
    <w:tmpl w:val="A434F864"/>
    <w:lvl w:ilvl="0" w:tplc="04090005">
      <w:start w:val="1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urier New" w:eastAsia="Times New Roman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5">
    <w:nsid w:val="3E17307E"/>
    <w:multiLevelType w:val="hybridMultilevel"/>
    <w:tmpl w:val="2FB0D28E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00C4EE4"/>
    <w:multiLevelType w:val="hybridMultilevel"/>
    <w:tmpl w:val="83746AB8"/>
    <w:lvl w:ilvl="0" w:tplc="DFF41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0565996"/>
    <w:multiLevelType w:val="hybridMultilevel"/>
    <w:tmpl w:val="63B8F818"/>
    <w:lvl w:ilvl="0" w:tplc="F872D5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2216F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9B4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8A3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64A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0E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5A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7C2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7C6B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4900BDD"/>
    <w:multiLevelType w:val="hybridMultilevel"/>
    <w:tmpl w:val="ADF40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337363"/>
    <w:multiLevelType w:val="hybridMultilevel"/>
    <w:tmpl w:val="F96ADE64"/>
    <w:lvl w:ilvl="0" w:tplc="AB08C5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B43D10"/>
    <w:multiLevelType w:val="hybridMultilevel"/>
    <w:tmpl w:val="7E840B24"/>
    <w:lvl w:ilvl="0" w:tplc="784EC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9B142E4"/>
    <w:multiLevelType w:val="hybridMultilevel"/>
    <w:tmpl w:val="F19ECB00"/>
    <w:lvl w:ilvl="0" w:tplc="0409000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4A223FDD"/>
    <w:multiLevelType w:val="hybridMultilevel"/>
    <w:tmpl w:val="330EE930"/>
    <w:lvl w:ilvl="0" w:tplc="5F10435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A492116"/>
    <w:multiLevelType w:val="hybridMultilevel"/>
    <w:tmpl w:val="3B7097EA"/>
    <w:lvl w:ilvl="0" w:tplc="74C88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C266E5"/>
    <w:multiLevelType w:val="hybridMultilevel"/>
    <w:tmpl w:val="7C7C08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4D11C6"/>
    <w:multiLevelType w:val="hybridMultilevel"/>
    <w:tmpl w:val="CCE29BF8"/>
    <w:lvl w:ilvl="0" w:tplc="6D3E7A8E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2402A9"/>
    <w:multiLevelType w:val="hybridMultilevel"/>
    <w:tmpl w:val="82BE4314"/>
    <w:lvl w:ilvl="0" w:tplc="BDAE4F8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7">
    <w:nsid w:val="56B82632"/>
    <w:multiLevelType w:val="hybridMultilevel"/>
    <w:tmpl w:val="0DA822B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C00BCD"/>
    <w:multiLevelType w:val="hybridMultilevel"/>
    <w:tmpl w:val="B792EFA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F7B2CD9"/>
    <w:multiLevelType w:val="hybridMultilevel"/>
    <w:tmpl w:val="844016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0CE0E2E"/>
    <w:multiLevelType w:val="hybridMultilevel"/>
    <w:tmpl w:val="48E010C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38D63A2"/>
    <w:multiLevelType w:val="hybridMultilevel"/>
    <w:tmpl w:val="F0B4D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C434CF"/>
    <w:multiLevelType w:val="hybridMultilevel"/>
    <w:tmpl w:val="458A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46841B5"/>
    <w:multiLevelType w:val="hybridMultilevel"/>
    <w:tmpl w:val="0068CC96"/>
    <w:lvl w:ilvl="0" w:tplc="AB08C5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674F211D"/>
    <w:multiLevelType w:val="hybridMultilevel"/>
    <w:tmpl w:val="FB92AF9E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7F45B2B"/>
    <w:multiLevelType w:val="hybridMultilevel"/>
    <w:tmpl w:val="72A24D12"/>
    <w:lvl w:ilvl="0" w:tplc="AB08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A05F29"/>
    <w:multiLevelType w:val="hybridMultilevel"/>
    <w:tmpl w:val="E7600FB0"/>
    <w:lvl w:ilvl="0" w:tplc="AB08C5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A546181"/>
    <w:multiLevelType w:val="hybridMultilevel"/>
    <w:tmpl w:val="DC428A50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BE632DE"/>
    <w:multiLevelType w:val="hybridMultilevel"/>
    <w:tmpl w:val="3CA4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4C5F82"/>
    <w:multiLevelType w:val="hybridMultilevel"/>
    <w:tmpl w:val="9E94162A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6F32287B"/>
    <w:multiLevelType w:val="hybridMultilevel"/>
    <w:tmpl w:val="373EC72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70C63AA2"/>
    <w:multiLevelType w:val="hybridMultilevel"/>
    <w:tmpl w:val="34A85A04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2CD6D4E"/>
    <w:multiLevelType w:val="hybridMultilevel"/>
    <w:tmpl w:val="4A5AB7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63">
    <w:nsid w:val="76E73C05"/>
    <w:multiLevelType w:val="hybridMultilevel"/>
    <w:tmpl w:val="7C006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A3E6A5E"/>
    <w:multiLevelType w:val="hybridMultilevel"/>
    <w:tmpl w:val="8778AD32"/>
    <w:lvl w:ilvl="0" w:tplc="F872D5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2216F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9B4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8A3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64A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0E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5A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7C2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7C6B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7B943F4C"/>
    <w:multiLevelType w:val="hybridMultilevel"/>
    <w:tmpl w:val="97C00484"/>
    <w:lvl w:ilvl="0" w:tplc="AB08C5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>
    <w:nsid w:val="7C971074"/>
    <w:multiLevelType w:val="hybridMultilevel"/>
    <w:tmpl w:val="B52AA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4"/>
  </w:num>
  <w:num w:numId="4">
    <w:abstractNumId w:val="49"/>
  </w:num>
  <w:num w:numId="5">
    <w:abstractNumId w:val="29"/>
  </w:num>
  <w:num w:numId="6">
    <w:abstractNumId w:val="26"/>
  </w:num>
  <w:num w:numId="7">
    <w:abstractNumId w:val="50"/>
  </w:num>
  <w:num w:numId="8">
    <w:abstractNumId w:val="13"/>
  </w:num>
  <w:num w:numId="9">
    <w:abstractNumId w:val="53"/>
  </w:num>
  <w:num w:numId="10">
    <w:abstractNumId w:val="59"/>
  </w:num>
  <w:num w:numId="11">
    <w:abstractNumId w:val="66"/>
  </w:num>
  <w:num w:numId="12">
    <w:abstractNumId w:val="35"/>
  </w:num>
  <w:num w:numId="13">
    <w:abstractNumId w:val="16"/>
  </w:num>
  <w:num w:numId="14">
    <w:abstractNumId w:val="61"/>
  </w:num>
  <w:num w:numId="15">
    <w:abstractNumId w:val="15"/>
  </w:num>
  <w:num w:numId="16">
    <w:abstractNumId w:val="47"/>
  </w:num>
  <w:num w:numId="17">
    <w:abstractNumId w:val="38"/>
  </w:num>
  <w:num w:numId="18">
    <w:abstractNumId w:val="52"/>
  </w:num>
  <w:num w:numId="19">
    <w:abstractNumId w:val="46"/>
  </w:num>
  <w:num w:numId="20">
    <w:abstractNumId w:val="32"/>
  </w:num>
  <w:num w:numId="21">
    <w:abstractNumId w:val="23"/>
  </w:num>
  <w:num w:numId="22">
    <w:abstractNumId w:val="22"/>
  </w:num>
  <w:num w:numId="23">
    <w:abstractNumId w:val="56"/>
  </w:num>
  <w:num w:numId="24">
    <w:abstractNumId w:val="40"/>
  </w:num>
  <w:num w:numId="25">
    <w:abstractNumId w:val="60"/>
  </w:num>
  <w:num w:numId="26">
    <w:abstractNumId w:val="64"/>
  </w:num>
  <w:num w:numId="27">
    <w:abstractNumId w:val="17"/>
  </w:num>
  <w:num w:numId="28">
    <w:abstractNumId w:val="65"/>
  </w:num>
  <w:num w:numId="29">
    <w:abstractNumId w:val="33"/>
  </w:num>
  <w:num w:numId="30">
    <w:abstractNumId w:val="42"/>
  </w:num>
  <w:num w:numId="31">
    <w:abstractNumId w:val="39"/>
  </w:num>
  <w:num w:numId="32">
    <w:abstractNumId w:val="27"/>
  </w:num>
  <w:num w:numId="33">
    <w:abstractNumId w:val="18"/>
  </w:num>
  <w:num w:numId="34">
    <w:abstractNumId w:val="37"/>
  </w:num>
  <w:num w:numId="35">
    <w:abstractNumId w:val="25"/>
  </w:num>
  <w:num w:numId="36">
    <w:abstractNumId w:val="45"/>
  </w:num>
  <w:num w:numId="37">
    <w:abstractNumId w:val="44"/>
  </w:num>
  <w:num w:numId="38">
    <w:abstractNumId w:val="30"/>
  </w:num>
  <w:num w:numId="39">
    <w:abstractNumId w:val="63"/>
  </w:num>
  <w:num w:numId="40">
    <w:abstractNumId w:val="48"/>
  </w:num>
  <w:num w:numId="41">
    <w:abstractNumId w:val="28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"/>
  </w:num>
  <w:num w:numId="48">
    <w:abstractNumId w:val="3"/>
  </w:num>
  <w:num w:numId="49">
    <w:abstractNumId w:val="2"/>
  </w:num>
  <w:num w:numId="50">
    <w:abstractNumId w:val="1"/>
  </w:num>
  <w:num w:numId="51">
    <w:abstractNumId w:val="0"/>
  </w:num>
  <w:num w:numId="52">
    <w:abstractNumId w:val="41"/>
  </w:num>
  <w:num w:numId="53">
    <w:abstractNumId w:val="36"/>
  </w:num>
  <w:num w:numId="54">
    <w:abstractNumId w:val="62"/>
  </w:num>
  <w:num w:numId="55">
    <w:abstractNumId w:val="55"/>
  </w:num>
  <w:num w:numId="56">
    <w:abstractNumId w:val="10"/>
  </w:num>
  <w:num w:numId="57">
    <w:abstractNumId w:val="58"/>
  </w:num>
  <w:num w:numId="58">
    <w:abstractNumId w:val="20"/>
  </w:num>
  <w:num w:numId="59">
    <w:abstractNumId w:val="54"/>
  </w:num>
  <w:num w:numId="60">
    <w:abstractNumId w:val="12"/>
  </w:num>
  <w:num w:numId="61">
    <w:abstractNumId w:val="21"/>
  </w:num>
  <w:num w:numId="62">
    <w:abstractNumId w:val="34"/>
  </w:num>
  <w:num w:numId="63">
    <w:abstractNumId w:val="14"/>
  </w:num>
  <w:num w:numId="64">
    <w:abstractNumId w:val="43"/>
  </w:num>
  <w:num w:numId="65">
    <w:abstractNumId w:val="11"/>
  </w:num>
  <w:num w:numId="66">
    <w:abstractNumId w:val="57"/>
  </w:num>
  <w:num w:numId="67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C9C"/>
    <w:rsid w:val="00011923"/>
    <w:rsid w:val="0002156D"/>
    <w:rsid w:val="00024CF8"/>
    <w:rsid w:val="00032CEC"/>
    <w:rsid w:val="000366BC"/>
    <w:rsid w:val="000637BD"/>
    <w:rsid w:val="00092F24"/>
    <w:rsid w:val="00096BBD"/>
    <w:rsid w:val="000D1A8C"/>
    <w:rsid w:val="000E1937"/>
    <w:rsid w:val="00101CC8"/>
    <w:rsid w:val="001504D1"/>
    <w:rsid w:val="00154D3F"/>
    <w:rsid w:val="00160756"/>
    <w:rsid w:val="001C0476"/>
    <w:rsid w:val="001C430F"/>
    <w:rsid w:val="001D12C2"/>
    <w:rsid w:val="00202695"/>
    <w:rsid w:val="00214F68"/>
    <w:rsid w:val="00230212"/>
    <w:rsid w:val="00262DF4"/>
    <w:rsid w:val="002637CA"/>
    <w:rsid w:val="00267C2B"/>
    <w:rsid w:val="00277D7D"/>
    <w:rsid w:val="002830E0"/>
    <w:rsid w:val="00284555"/>
    <w:rsid w:val="002C2DC6"/>
    <w:rsid w:val="002E2FBD"/>
    <w:rsid w:val="002F45EB"/>
    <w:rsid w:val="00301402"/>
    <w:rsid w:val="0030330A"/>
    <w:rsid w:val="00314941"/>
    <w:rsid w:val="00336939"/>
    <w:rsid w:val="003369D5"/>
    <w:rsid w:val="00363DD5"/>
    <w:rsid w:val="00382E59"/>
    <w:rsid w:val="003A75C2"/>
    <w:rsid w:val="003E5C71"/>
    <w:rsid w:val="003E6BA0"/>
    <w:rsid w:val="003F2746"/>
    <w:rsid w:val="003F7194"/>
    <w:rsid w:val="00411C15"/>
    <w:rsid w:val="0045291D"/>
    <w:rsid w:val="00472BCE"/>
    <w:rsid w:val="00472E3E"/>
    <w:rsid w:val="00473CF6"/>
    <w:rsid w:val="004956EF"/>
    <w:rsid w:val="004A17A3"/>
    <w:rsid w:val="004D7C8B"/>
    <w:rsid w:val="004F30F8"/>
    <w:rsid w:val="005340C6"/>
    <w:rsid w:val="00543DD8"/>
    <w:rsid w:val="0056598F"/>
    <w:rsid w:val="00567331"/>
    <w:rsid w:val="005708F1"/>
    <w:rsid w:val="00574217"/>
    <w:rsid w:val="005825E5"/>
    <w:rsid w:val="00582ACC"/>
    <w:rsid w:val="00595822"/>
    <w:rsid w:val="00596A7D"/>
    <w:rsid w:val="00596D9A"/>
    <w:rsid w:val="005B4457"/>
    <w:rsid w:val="005B7EC7"/>
    <w:rsid w:val="005C7A3D"/>
    <w:rsid w:val="005C7DBF"/>
    <w:rsid w:val="005E18BA"/>
    <w:rsid w:val="006022ED"/>
    <w:rsid w:val="0060451E"/>
    <w:rsid w:val="00616E8F"/>
    <w:rsid w:val="00616EE6"/>
    <w:rsid w:val="00632457"/>
    <w:rsid w:val="00643A74"/>
    <w:rsid w:val="0065142D"/>
    <w:rsid w:val="00682C4E"/>
    <w:rsid w:val="00690639"/>
    <w:rsid w:val="0069168A"/>
    <w:rsid w:val="00696461"/>
    <w:rsid w:val="006B1775"/>
    <w:rsid w:val="00704AD1"/>
    <w:rsid w:val="00734FB2"/>
    <w:rsid w:val="007479BC"/>
    <w:rsid w:val="00747B9B"/>
    <w:rsid w:val="00773638"/>
    <w:rsid w:val="007C3C30"/>
    <w:rsid w:val="007C5A6D"/>
    <w:rsid w:val="007D0A12"/>
    <w:rsid w:val="007E2312"/>
    <w:rsid w:val="007F5486"/>
    <w:rsid w:val="008022AB"/>
    <w:rsid w:val="00804886"/>
    <w:rsid w:val="00806BCF"/>
    <w:rsid w:val="0081711F"/>
    <w:rsid w:val="00852690"/>
    <w:rsid w:val="00860138"/>
    <w:rsid w:val="00876252"/>
    <w:rsid w:val="008814B9"/>
    <w:rsid w:val="00882BB2"/>
    <w:rsid w:val="008C33B6"/>
    <w:rsid w:val="008C4BE1"/>
    <w:rsid w:val="008E4782"/>
    <w:rsid w:val="00900317"/>
    <w:rsid w:val="00911C55"/>
    <w:rsid w:val="00920BA5"/>
    <w:rsid w:val="00930062"/>
    <w:rsid w:val="00940525"/>
    <w:rsid w:val="00946454"/>
    <w:rsid w:val="0096018A"/>
    <w:rsid w:val="00966455"/>
    <w:rsid w:val="0097592A"/>
    <w:rsid w:val="00986612"/>
    <w:rsid w:val="009872A7"/>
    <w:rsid w:val="009934EC"/>
    <w:rsid w:val="009A4135"/>
    <w:rsid w:val="009A5919"/>
    <w:rsid w:val="009C2794"/>
    <w:rsid w:val="009D3CAA"/>
    <w:rsid w:val="009D5F2B"/>
    <w:rsid w:val="009F3B9A"/>
    <w:rsid w:val="00A25AAC"/>
    <w:rsid w:val="00A318A3"/>
    <w:rsid w:val="00A32872"/>
    <w:rsid w:val="00A3676B"/>
    <w:rsid w:val="00A53466"/>
    <w:rsid w:val="00A77FA1"/>
    <w:rsid w:val="00A94EA5"/>
    <w:rsid w:val="00A95176"/>
    <w:rsid w:val="00AA2667"/>
    <w:rsid w:val="00AA470E"/>
    <w:rsid w:val="00AB645F"/>
    <w:rsid w:val="00AB78E0"/>
    <w:rsid w:val="00AC1502"/>
    <w:rsid w:val="00AC708C"/>
    <w:rsid w:val="00AD2128"/>
    <w:rsid w:val="00AE6291"/>
    <w:rsid w:val="00B154BC"/>
    <w:rsid w:val="00B3199A"/>
    <w:rsid w:val="00B41C4D"/>
    <w:rsid w:val="00B46A29"/>
    <w:rsid w:val="00B5782B"/>
    <w:rsid w:val="00B721A6"/>
    <w:rsid w:val="00B72616"/>
    <w:rsid w:val="00B73E7E"/>
    <w:rsid w:val="00BA23A2"/>
    <w:rsid w:val="00BC68CC"/>
    <w:rsid w:val="00BD69C4"/>
    <w:rsid w:val="00BF5EFD"/>
    <w:rsid w:val="00C071F9"/>
    <w:rsid w:val="00C132C8"/>
    <w:rsid w:val="00C21935"/>
    <w:rsid w:val="00C33A03"/>
    <w:rsid w:val="00C4350A"/>
    <w:rsid w:val="00C6620A"/>
    <w:rsid w:val="00C71CB6"/>
    <w:rsid w:val="00C82A3A"/>
    <w:rsid w:val="00C8420E"/>
    <w:rsid w:val="00C95ACF"/>
    <w:rsid w:val="00CA4EC6"/>
    <w:rsid w:val="00CB5B7B"/>
    <w:rsid w:val="00CB67FB"/>
    <w:rsid w:val="00CD3352"/>
    <w:rsid w:val="00CD43A0"/>
    <w:rsid w:val="00D158CC"/>
    <w:rsid w:val="00D27D4F"/>
    <w:rsid w:val="00D32A8F"/>
    <w:rsid w:val="00D33460"/>
    <w:rsid w:val="00D46F84"/>
    <w:rsid w:val="00D47018"/>
    <w:rsid w:val="00D618B1"/>
    <w:rsid w:val="00D63419"/>
    <w:rsid w:val="00D66DA4"/>
    <w:rsid w:val="00D94B1B"/>
    <w:rsid w:val="00DA3FD7"/>
    <w:rsid w:val="00DA6C8A"/>
    <w:rsid w:val="00DA72DC"/>
    <w:rsid w:val="00DA7BB0"/>
    <w:rsid w:val="00DB6238"/>
    <w:rsid w:val="00DD1FDC"/>
    <w:rsid w:val="00DE7929"/>
    <w:rsid w:val="00DF1534"/>
    <w:rsid w:val="00E0047A"/>
    <w:rsid w:val="00E31C9C"/>
    <w:rsid w:val="00E32935"/>
    <w:rsid w:val="00E43900"/>
    <w:rsid w:val="00E46DEE"/>
    <w:rsid w:val="00E66C25"/>
    <w:rsid w:val="00E71C0D"/>
    <w:rsid w:val="00E8274E"/>
    <w:rsid w:val="00E97C6A"/>
    <w:rsid w:val="00EA1AEB"/>
    <w:rsid w:val="00EC0A6A"/>
    <w:rsid w:val="00EC379C"/>
    <w:rsid w:val="00EE4A6C"/>
    <w:rsid w:val="00EE6CEA"/>
    <w:rsid w:val="00F01059"/>
    <w:rsid w:val="00F06EEB"/>
    <w:rsid w:val="00F137FC"/>
    <w:rsid w:val="00F21ED0"/>
    <w:rsid w:val="00F34201"/>
    <w:rsid w:val="00F51185"/>
    <w:rsid w:val="00F835F8"/>
    <w:rsid w:val="00F9799D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sz w:val="24"/>
      <w:szCs w:val="24"/>
    </w:rPr>
  </w:style>
  <w:style w:type="paragraph" w:styleId="Heading1">
    <w:name w:val="heading 1"/>
    <w:aliases w:val="Comic headings"/>
    <w:basedOn w:val="Normal"/>
    <w:next w:val="Normal"/>
    <w:qFormat/>
    <w:pPr>
      <w:keepNext/>
      <w:tabs>
        <w:tab w:val="left" w:pos="1440"/>
      </w:tabs>
      <w:spacing w:before="360" w:after="240"/>
      <w:jc w:val="center"/>
      <w:outlineLvl w:val="0"/>
    </w:pPr>
    <w:rPr>
      <w:b/>
      <w:bCs/>
      <w:i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Cs/>
      <w:szCs w:val="28"/>
      <w:lang w:val="en-GB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qFormat/>
    <w:rsid w:val="00F01059"/>
    <w:pPr>
      <w:keepNext/>
      <w:spacing w:before="240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line="240" w:lineRule="auto"/>
      <w:ind w:right="-900"/>
      <w:outlineLvl w:val="5"/>
    </w:pPr>
    <w:rPr>
      <w:rFonts w:ascii="Arial-ItalicMS" w:hAnsi="Arial-ItalicMS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right="-180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1">
    <w:name w:val="Heading 3 Char1"/>
    <w:link w:val="Heading3"/>
    <w:rsid w:val="003E5C71"/>
    <w:rPr>
      <w:b/>
      <w:bCs/>
      <w:i/>
      <w:sz w:val="24"/>
      <w:szCs w:val="24"/>
      <w:lang w:val="en-US" w:eastAsia="en-US" w:bidi="ar-SA"/>
    </w:rPr>
  </w:style>
  <w:style w:type="character" w:customStyle="1" w:styleId="Heading3Char">
    <w:name w:val="Heading 3 Char"/>
    <w:rPr>
      <w:b/>
      <w:bCs/>
      <w:i/>
      <w:sz w:val="24"/>
      <w:szCs w:val="24"/>
      <w:lang w:val="en-US" w:eastAsia="en-US" w:bidi="ar-SA"/>
    </w:rPr>
  </w:style>
  <w:style w:type="paragraph" w:styleId="List2">
    <w:name w:val="List 2"/>
    <w:basedOn w:val="Normal"/>
    <w:pPr>
      <w:spacing w:line="240" w:lineRule="auto"/>
      <w:ind w:left="288" w:hanging="144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lang w:val="en-GB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</w:style>
  <w:style w:type="character" w:styleId="Hyperlink">
    <w:name w:val="Hyperlink"/>
    <w:rPr>
      <w:color w:val="0000FF"/>
      <w:sz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BodyTextIndent2">
    <w:name w:val="Body Text Indent 2"/>
    <w:basedOn w:val="Normal"/>
    <w:pPr>
      <w:ind w:left="720" w:firstLine="360"/>
    </w:pPr>
    <w:rPr>
      <w:sz w:val="20"/>
      <w:szCs w:val="20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character" w:styleId="FootnoteReference">
    <w:name w:val="footnote reference"/>
    <w:semiHidden/>
    <w:rPr>
      <w:rFonts w:ascii="Georgia" w:hAnsi="Georgia"/>
      <w:shadow/>
      <w:vertAlign w:val="superscript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</w:pPr>
    <w:rPr>
      <w:rFonts w:ascii="Book Antiqua" w:hAnsi="Book Antiqua" w:cs="Arial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year">
    <w:name w:val="year"/>
    <w:rPr>
      <w:rFonts w:ascii="Arial" w:hAnsi="Arial" w:cs="Arial" w:hint="default"/>
      <w:b/>
      <w:bCs/>
      <w:color w:val="333333"/>
      <w:sz w:val="18"/>
      <w:szCs w:val="18"/>
    </w:rPr>
  </w:style>
  <w:style w:type="character" w:customStyle="1" w:styleId="heading">
    <w:name w:val="heading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hortReturnAddress">
    <w:name w:val="Short Return Address"/>
    <w:basedOn w:val="Normal"/>
    <w:pPr>
      <w:spacing w:line="240" w:lineRule="auto"/>
    </w:pPr>
    <w:rPr>
      <w:lang w:val="es-ES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spacing w:line="240" w:lineRule="auto"/>
      <w:jc w:val="center"/>
    </w:pPr>
    <w:rPr>
      <w:sz w:val="20"/>
    </w:rPr>
  </w:style>
  <w:style w:type="paragraph" w:styleId="TOC3">
    <w:name w:val="toc 3"/>
    <w:basedOn w:val="Normal"/>
    <w:next w:val="Normal"/>
    <w:autoRedefine/>
    <w:semiHidden/>
    <w:rsid w:val="008814B9"/>
    <w:pPr>
      <w:tabs>
        <w:tab w:val="right" w:leader="dot" w:pos="9350"/>
      </w:tabs>
      <w:spacing w:line="240" w:lineRule="auto"/>
      <w:ind w:left="720" w:hanging="240"/>
    </w:pPr>
    <w:rPr>
      <w:noProof/>
      <w:sz w:val="22"/>
    </w:rPr>
  </w:style>
  <w:style w:type="paragraph" w:styleId="TOC2">
    <w:name w:val="toc 2"/>
    <w:basedOn w:val="Normal"/>
    <w:next w:val="Normal"/>
    <w:autoRedefine/>
    <w:semiHidden/>
    <w:rsid w:val="008814B9"/>
    <w:pPr>
      <w:tabs>
        <w:tab w:val="right" w:leader="dot" w:pos="9360"/>
      </w:tabs>
      <w:spacing w:line="240" w:lineRule="auto"/>
      <w:ind w:left="245"/>
    </w:pPr>
  </w:style>
  <w:style w:type="paragraph" w:customStyle="1" w:styleId="2AutoList3">
    <w:name w:val="2AutoList3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3AutoList3">
    <w:name w:val="3AutoList3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spacing w:line="240" w:lineRule="auto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spacing w:line="240" w:lineRule="auto"/>
      <w:ind w:left="720"/>
    </w:pPr>
  </w:style>
  <w:style w:type="character" w:customStyle="1" w:styleId="goohl01">
    <w:name w:val="goohl01"/>
    <w:rPr>
      <w:color w:val="000000"/>
      <w:shd w:val="clear" w:color="auto" w:fill="FFFF66"/>
    </w:rPr>
  </w:style>
  <w:style w:type="character" w:customStyle="1" w:styleId="goohl11">
    <w:name w:val="goohl11"/>
    <w:rPr>
      <w:color w:val="000000"/>
      <w:shd w:val="clear" w:color="auto" w:fill="A0FFFF"/>
    </w:rPr>
  </w:style>
  <w:style w:type="character" w:customStyle="1" w:styleId="goohl0">
    <w:name w:val="goohl0"/>
    <w:basedOn w:val="DefaultParagraphFont"/>
  </w:style>
  <w:style w:type="paragraph" w:styleId="Subtitle">
    <w:name w:val="Subtitle"/>
    <w:basedOn w:val="Normal"/>
    <w:qFormat/>
    <w:rPr>
      <w:i/>
      <w:iCs/>
    </w:rPr>
  </w:style>
  <w:style w:type="paragraph" w:styleId="BodyText3">
    <w:name w:val="Body Text 3"/>
    <w:basedOn w:val="Normal"/>
    <w:pPr>
      <w:jc w:val="center"/>
    </w:pPr>
  </w:style>
  <w:style w:type="paragraph" w:styleId="TableofFigures">
    <w:name w:val="table of figures"/>
    <w:basedOn w:val="Normal"/>
    <w:next w:val="Normal"/>
    <w:semiHidden/>
    <w:pPr>
      <w:spacing w:line="240" w:lineRule="auto"/>
      <w:ind w:left="720" w:hanging="720"/>
    </w:pPr>
    <w:rPr>
      <w:sz w:val="20"/>
    </w:rPr>
  </w:style>
  <w:style w:type="paragraph" w:styleId="Caption">
    <w:name w:val="caption"/>
    <w:basedOn w:val="Normal"/>
    <w:next w:val="Normal"/>
    <w:qFormat/>
    <w:pPr>
      <w:spacing w:before="120" w:line="240" w:lineRule="auto"/>
      <w:jc w:val="center"/>
    </w:pPr>
    <w:rPr>
      <w:bCs/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bodyheader1">
    <w:name w:val="bodyheader1"/>
    <w:rPr>
      <w:rFonts w:ascii="Verdana" w:hAnsi="Verdana" w:hint="default"/>
      <w:b/>
      <w:bCs/>
      <w:strike w:val="0"/>
      <w:dstrike w:val="0"/>
      <w:color w:val="669933"/>
      <w:sz w:val="18"/>
      <w:szCs w:val="18"/>
      <w:u w:val="none"/>
      <w:effect w:val="none"/>
    </w:rPr>
  </w:style>
  <w:style w:type="paragraph" w:customStyle="1" w:styleId="Tables">
    <w:name w:val="Tables"/>
    <w:basedOn w:val="Normal"/>
    <w:pPr>
      <w:spacing w:line="240" w:lineRule="auto"/>
      <w:jc w:val="center"/>
    </w:pPr>
    <w:rPr>
      <w:sz w:val="20"/>
      <w:szCs w:val="20"/>
    </w:rPr>
  </w:style>
  <w:style w:type="paragraph" w:customStyle="1" w:styleId="Figures">
    <w:name w:val="Figures"/>
    <w:basedOn w:val="Normal"/>
    <w:pPr>
      <w:spacing w:line="240" w:lineRule="auto"/>
      <w:jc w:val="center"/>
    </w:pPr>
    <w:rPr>
      <w:sz w:val="20"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540" w:right="180" w:hanging="540"/>
    </w:pPr>
    <w:rPr>
      <w:szCs w:val="23"/>
    </w:rPr>
  </w:style>
  <w:style w:type="paragraph" w:customStyle="1" w:styleId="xl24">
    <w:name w:val="xl24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25">
    <w:name w:val="xl25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color w:val="FF0000"/>
    </w:rPr>
  </w:style>
  <w:style w:type="paragraph" w:customStyle="1" w:styleId="xl28">
    <w:name w:val="xl28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31">
    <w:name w:val="xl31"/>
    <w:basedOn w:val="Normal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character" w:customStyle="1" w:styleId="plain-tiny1">
    <w:name w:val="plain-tiny1"/>
    <w:rPr>
      <w:rFonts w:ascii="Arial" w:hAnsi="Arial" w:cs="Arial" w:hint="default"/>
      <w:sz w:val="16"/>
      <w:szCs w:val="16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b/>
      <w:bCs/>
      <w:sz w:val="16"/>
      <w:szCs w:val="16"/>
    </w:rPr>
  </w:style>
  <w:style w:type="paragraph" w:customStyle="1" w:styleId="xl33">
    <w:name w:val="xl3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sz w:val="22"/>
      <w:szCs w:val="22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umanst521 BT" w:eastAsia="Arial Unicode MS" w:hAnsi="Humanst521 BT" w:cs="Arial Unicode MS"/>
      <w:i/>
      <w:iCs/>
      <w:sz w:val="16"/>
      <w:szCs w:val="16"/>
    </w:rPr>
  </w:style>
  <w:style w:type="paragraph" w:customStyle="1" w:styleId="xl35">
    <w:name w:val="xl35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36">
    <w:name w:val="xl36"/>
    <w:basedOn w:val="Normal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6"/>
      <w:szCs w:val="16"/>
      <w:u w:val="single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0000"/>
      <w:sz w:val="16"/>
      <w:szCs w:val="16"/>
    </w:rPr>
  </w:style>
  <w:style w:type="paragraph" w:customStyle="1" w:styleId="xl42">
    <w:name w:val="xl42"/>
    <w:basedOn w:val="Normal"/>
    <w:pPr>
      <w:pBdr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color w:val="FFFFFF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0000"/>
      <w:sz w:val="16"/>
      <w:szCs w:val="16"/>
    </w:rPr>
  </w:style>
  <w:style w:type="paragraph" w:customStyle="1" w:styleId="xl47">
    <w:name w:val="xl47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0">
    <w:name w:val="xl50"/>
    <w:basedOn w:val="Normal"/>
    <w:pPr>
      <w:pBdr>
        <w:top w:val="single" w:sz="4" w:space="0" w:color="auto"/>
        <w:bottom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1">
    <w:name w:val="xl5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2">
    <w:name w:val="xl52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8"/>
      <w:szCs w:val="18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4">
    <w:name w:val="xl54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rPr>
      <w:rFonts w:ascii="Arial Unicode MS" w:hAnsi="Arial Unicode MS"/>
      <w:color w:val="000000"/>
      <w:sz w:val="24"/>
      <w:szCs w:val="24"/>
      <w:lang w:val="en-US" w:eastAsia="en-US" w:bidi="ar-SA"/>
    </w:rPr>
  </w:style>
  <w:style w:type="character" w:customStyle="1" w:styleId="TablesChar">
    <w:name w:val="Tables Char"/>
    <w:rPr>
      <w:sz w:val="20"/>
      <w:szCs w:val="20"/>
      <w:lang w:val="en-US" w:eastAsia="en-US" w:bidi="ar-SA"/>
    </w:rPr>
  </w:style>
  <w:style w:type="paragraph" w:customStyle="1" w:styleId="xl22">
    <w:name w:val="xl22"/>
    <w:basedOn w:val="Normal"/>
    <w:pPr>
      <w:spacing w:before="100" w:beforeAutospacing="1" w:after="100" w:afterAutospacing="1" w:line="240" w:lineRule="auto"/>
      <w:textAlignment w:val="top"/>
    </w:pPr>
    <w:rPr>
      <w:rFonts w:eastAsia="Arial Unicode MS"/>
    </w:rPr>
  </w:style>
  <w:style w:type="paragraph" w:customStyle="1" w:styleId="List2Header">
    <w:name w:val="List2 Header"/>
    <w:basedOn w:val="List2"/>
    <w:pPr>
      <w:jc w:val="center"/>
    </w:pPr>
    <w:rPr>
      <w:b/>
    </w:rPr>
  </w:style>
  <w:style w:type="paragraph" w:customStyle="1" w:styleId="xl23">
    <w:name w:val="xl23"/>
    <w:basedOn w:val="Normal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eastAsia="Arial Unicode MS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</w:rPr>
  </w:style>
  <w:style w:type="paragraph" w:styleId="BodyTextFirstIndent2">
    <w:name w:val="Body Text First Indent 2"/>
    <w:basedOn w:val="BodyTextIndent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120"/>
      <w:ind w:firstLine="210"/>
    </w:pPr>
    <w:rPr>
      <w:lang w:val="en-US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List">
    <w:name w:val="List"/>
    <w:basedOn w:val="Normal"/>
    <w:pPr>
      <w:ind w:left="36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2"/>
      </w:numPr>
    </w:pPr>
  </w:style>
  <w:style w:type="paragraph" w:styleId="ListBullet2">
    <w:name w:val="List Bullet 2"/>
    <w:basedOn w:val="Normal"/>
    <w:autoRedefine/>
    <w:pPr>
      <w:numPr>
        <w:numId w:val="43"/>
      </w:numPr>
    </w:pPr>
  </w:style>
  <w:style w:type="paragraph" w:styleId="ListBullet3">
    <w:name w:val="List Bullet 3"/>
    <w:basedOn w:val="Normal"/>
    <w:autoRedefine/>
    <w:pPr>
      <w:numPr>
        <w:numId w:val="44"/>
      </w:numPr>
    </w:pPr>
  </w:style>
  <w:style w:type="paragraph" w:styleId="ListBullet4">
    <w:name w:val="List Bullet 4"/>
    <w:basedOn w:val="Normal"/>
    <w:autoRedefine/>
    <w:pPr>
      <w:numPr>
        <w:numId w:val="45"/>
      </w:numPr>
    </w:pPr>
  </w:style>
  <w:style w:type="paragraph" w:styleId="ListBullet5">
    <w:name w:val="List Bullet 5"/>
    <w:basedOn w:val="Normal"/>
    <w:autoRedefine/>
    <w:pPr>
      <w:numPr>
        <w:numId w:val="4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47"/>
      </w:numPr>
    </w:pPr>
  </w:style>
  <w:style w:type="paragraph" w:styleId="ListNumber2">
    <w:name w:val="List Number 2"/>
    <w:basedOn w:val="Normal"/>
    <w:pPr>
      <w:numPr>
        <w:numId w:val="48"/>
      </w:numPr>
    </w:pPr>
  </w:style>
  <w:style w:type="paragraph" w:styleId="ListNumber3">
    <w:name w:val="List Number 3"/>
    <w:basedOn w:val="Normal"/>
    <w:pPr>
      <w:numPr>
        <w:numId w:val="49"/>
      </w:numPr>
    </w:pPr>
  </w:style>
  <w:style w:type="paragraph" w:styleId="ListNumber4">
    <w:name w:val="List Number 4"/>
    <w:basedOn w:val="Normal"/>
    <w:pPr>
      <w:numPr>
        <w:numId w:val="50"/>
      </w:numPr>
    </w:pPr>
  </w:style>
  <w:style w:type="paragraph" w:styleId="ListNumber5">
    <w:name w:val="List Number 5"/>
    <w:basedOn w:val="Normal"/>
    <w:pPr>
      <w:numPr>
        <w:numId w:val="5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customStyle="1" w:styleId="style5">
    <w:name w:val="style5"/>
    <w:basedOn w:val="DefaultParagraphFont"/>
  </w:style>
  <w:style w:type="paragraph" w:customStyle="1" w:styleId="Style1">
    <w:name w:val="Style1"/>
    <w:basedOn w:val="Caption"/>
    <w:autoRedefine/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customStyle="1" w:styleId="StyleHeading3NotBold">
    <w:name w:val="Style Heading 3 + Not Bold"/>
    <w:basedOn w:val="Heading3"/>
    <w:link w:val="StyleHeading3NotBoldChar"/>
    <w:rsid w:val="003E5C71"/>
    <w:rPr>
      <w:bCs w:val="0"/>
      <w:iCs/>
    </w:rPr>
  </w:style>
  <w:style w:type="character" w:customStyle="1" w:styleId="StyleHeading3NotBoldChar">
    <w:name w:val="Style Heading 3 + Not Bold Char"/>
    <w:link w:val="StyleHeading3NotBold"/>
    <w:rsid w:val="003E5C71"/>
    <w:rPr>
      <w:b/>
      <w:bCs/>
      <w:i/>
      <w:iCs/>
      <w:sz w:val="24"/>
      <w:szCs w:val="24"/>
      <w:lang w:val="en-US" w:eastAsia="en-US" w:bidi="ar-SA"/>
    </w:rPr>
  </w:style>
  <w:style w:type="paragraph" w:customStyle="1" w:styleId="StyleFirstline05">
    <w:name w:val="Style First line:  0.5&quot;"/>
    <w:basedOn w:val="Normal"/>
    <w:next w:val="Normal"/>
    <w:rsid w:val="00EC379C"/>
    <w:pPr>
      <w:ind w:firstLine="720"/>
    </w:pPr>
    <w:rPr>
      <w:szCs w:val="20"/>
    </w:rPr>
  </w:style>
  <w:style w:type="paragraph" w:customStyle="1" w:styleId="bullet">
    <w:name w:val="bullet"/>
    <w:basedOn w:val="Normal"/>
    <w:rsid w:val="00EC379C"/>
    <w:pPr>
      <w:spacing w:before="100" w:after="100"/>
      <w:ind w:right="72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AA2667"/>
    <w:pPr>
      <w:spacing w:line="240" w:lineRule="auto"/>
      <w:ind w:left="960"/>
    </w:pPr>
  </w:style>
  <w:style w:type="paragraph" w:styleId="TOC6">
    <w:name w:val="toc 6"/>
    <w:basedOn w:val="Normal"/>
    <w:next w:val="Normal"/>
    <w:autoRedefine/>
    <w:semiHidden/>
    <w:rsid w:val="00AA2667"/>
    <w:pPr>
      <w:spacing w:line="240" w:lineRule="auto"/>
      <w:ind w:left="1200"/>
    </w:pPr>
  </w:style>
  <w:style w:type="paragraph" w:styleId="TOC7">
    <w:name w:val="toc 7"/>
    <w:basedOn w:val="Normal"/>
    <w:next w:val="Normal"/>
    <w:autoRedefine/>
    <w:semiHidden/>
    <w:rsid w:val="00AA2667"/>
    <w:pPr>
      <w:spacing w:line="240" w:lineRule="auto"/>
      <w:ind w:left="1440"/>
    </w:pPr>
  </w:style>
  <w:style w:type="paragraph" w:styleId="TOC9">
    <w:name w:val="toc 9"/>
    <w:basedOn w:val="Normal"/>
    <w:next w:val="Normal"/>
    <w:autoRedefine/>
    <w:semiHidden/>
    <w:rsid w:val="00AA2667"/>
    <w:pPr>
      <w:spacing w:line="240" w:lineRule="auto"/>
      <w:ind w:left="1920"/>
    </w:pPr>
  </w:style>
  <w:style w:type="paragraph" w:customStyle="1" w:styleId="Headingoptima">
    <w:name w:val="Heading. optima"/>
    <w:basedOn w:val="Heading1"/>
    <w:rsid w:val="00A318A3"/>
    <w:pPr>
      <w:tabs>
        <w:tab w:val="clear" w:pos="1440"/>
      </w:tabs>
      <w:spacing w:before="240" w:after="60" w:line="240" w:lineRule="auto"/>
      <w:jc w:val="left"/>
    </w:pPr>
    <w:rPr>
      <w:rFonts w:ascii="Optima" w:eastAsia="Times" w:hAnsi="Optima"/>
      <w:bCs w:val="0"/>
      <w:iCs w:val="0"/>
      <w:color w:val="auto"/>
      <w:kern w:val="32"/>
      <w:sz w:val="24"/>
      <w:szCs w:val="20"/>
    </w:rPr>
  </w:style>
  <w:style w:type="paragraph" w:customStyle="1" w:styleId="Titleoptima">
    <w:name w:val="Title. optima"/>
    <w:basedOn w:val="Title"/>
    <w:rsid w:val="00A318A3"/>
    <w:pPr>
      <w:autoSpaceDE/>
      <w:autoSpaceDN/>
      <w:adjustRightInd/>
      <w:spacing w:line="240" w:lineRule="auto"/>
    </w:pPr>
    <w:rPr>
      <w:rFonts w:ascii="Optima ExtraBlack" w:eastAsia="Times" w:hAnsi="Optima ExtraBlack"/>
      <w:sz w:val="36"/>
      <w:szCs w:val="20"/>
    </w:rPr>
  </w:style>
  <w:style w:type="paragraph" w:customStyle="1" w:styleId="Titlecomicsans">
    <w:name w:val="Title. comic sans"/>
    <w:basedOn w:val="Titleoptima"/>
    <w:next w:val="Heading1"/>
    <w:rsid w:val="00A318A3"/>
    <w:rPr>
      <w:rFonts w:ascii="Comic Sans MS" w:hAnsi="Comic Sans MS"/>
    </w:rPr>
  </w:style>
  <w:style w:type="paragraph" w:customStyle="1" w:styleId="Headingcomicsans">
    <w:name w:val="Heading. comic sans"/>
    <w:basedOn w:val="Headingoptima"/>
    <w:rsid w:val="00A318A3"/>
    <w:rPr>
      <w:rFonts w:ascii="Comic Sans MS" w:hAnsi="Comic Sans MS"/>
      <w:sz w:val="28"/>
    </w:rPr>
  </w:style>
  <w:style w:type="character" w:customStyle="1" w:styleId="f">
    <w:name w:val="f"/>
    <w:basedOn w:val="DefaultParagraphFont"/>
    <w:rsid w:val="00A318A3"/>
  </w:style>
  <w:style w:type="character" w:customStyle="1" w:styleId="body1">
    <w:name w:val="body1"/>
    <w:rsid w:val="00A318A3"/>
    <w:rPr>
      <w:rFonts w:ascii="Verdana" w:hAnsi="Verdana" w:hint="default"/>
      <w:color w:val="000000"/>
      <w:sz w:val="13"/>
    </w:rPr>
  </w:style>
  <w:style w:type="character" w:styleId="Emphasis">
    <w:name w:val="Emphasis"/>
    <w:qFormat/>
    <w:rsid w:val="00A318A3"/>
    <w:rPr>
      <w:i/>
    </w:rPr>
  </w:style>
  <w:style w:type="character" w:customStyle="1" w:styleId="starttitle1">
    <w:name w:val="starttitle1"/>
    <w:rsid w:val="00A318A3"/>
    <w:rPr>
      <w:sz w:val="14"/>
      <w:szCs w:val="14"/>
    </w:rPr>
  </w:style>
  <w:style w:type="character" w:customStyle="1" w:styleId="BodyTextChar">
    <w:name w:val="Body Text Char"/>
    <w:rsid w:val="00A318A3"/>
    <w:rPr>
      <w:rFonts w:ascii="Palatino" w:eastAsia="Times" w:hAnsi="Palatino"/>
      <w:sz w:val="24"/>
      <w:lang w:val="en-US" w:eastAsia="en-US" w:bidi="ar-SA"/>
    </w:rPr>
  </w:style>
  <w:style w:type="paragraph" w:customStyle="1" w:styleId="body">
    <w:name w:val="body"/>
    <w:basedOn w:val="Normal"/>
    <w:rsid w:val="00A318A3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Appendix">
    <w:name w:val="Appendix"/>
    <w:basedOn w:val="Tables"/>
    <w:link w:val="AppendixChar"/>
    <w:rsid w:val="00473CF6"/>
    <w:pPr>
      <w:spacing w:before="240" w:after="240" w:line="360" w:lineRule="auto"/>
    </w:pPr>
    <w:rPr>
      <w:b/>
      <w:sz w:val="28"/>
    </w:rPr>
  </w:style>
  <w:style w:type="character" w:customStyle="1" w:styleId="AppendixChar">
    <w:name w:val="Appendix Char"/>
    <w:link w:val="Appendix"/>
    <w:rsid w:val="00920BA5"/>
    <w:rPr>
      <w:b/>
      <w:sz w:val="28"/>
      <w:szCs w:val="20"/>
      <w:lang w:val="en-US" w:eastAsia="en-US" w:bidi="ar-SA"/>
    </w:rPr>
  </w:style>
  <w:style w:type="character" w:styleId="HTMLCite">
    <w:name w:val="HTML Cite"/>
    <w:uiPriority w:val="99"/>
    <w:semiHidden/>
    <w:unhideWhenUsed/>
    <w:rsid w:val="007F5486"/>
    <w:rPr>
      <w:i/>
      <w:iCs/>
    </w:rPr>
  </w:style>
  <w:style w:type="character" w:customStyle="1" w:styleId="std">
    <w:name w:val="std"/>
    <w:rsid w:val="007F5486"/>
  </w:style>
  <w:style w:type="paragraph" w:styleId="ListParagraph">
    <w:name w:val="List Paragraph"/>
    <w:basedOn w:val="Normal"/>
    <w:uiPriority w:val="34"/>
    <w:qFormat/>
    <w:rsid w:val="00DE7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078B-A5EB-4C80-813C-0A665F7D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care of comments</vt:lpstr>
    </vt:vector>
  </TitlesOfParts>
  <Company>SDSU</Company>
  <LinksUpToDate>false</LinksUpToDate>
  <CharactersWithSpaces>13573</CharactersWithSpaces>
  <SharedDoc>false</SharedDoc>
  <HLinks>
    <vt:vector size="48" baseType="variant">
      <vt:variant>
        <vt:i4>65634</vt:i4>
      </vt:variant>
      <vt:variant>
        <vt:i4>21</vt:i4>
      </vt:variant>
      <vt:variant>
        <vt:i4>0</vt:i4>
      </vt:variant>
      <vt:variant>
        <vt:i4>5</vt:i4>
      </vt:variant>
      <vt:variant>
        <vt:lpwstr>mailto:kcomer@projects.sdsu.edu</vt:lpwstr>
      </vt:variant>
      <vt:variant>
        <vt:lpwstr/>
      </vt:variant>
      <vt:variant>
        <vt:i4>5046356</vt:i4>
      </vt:variant>
      <vt:variant>
        <vt:i4>18</vt:i4>
      </vt:variant>
      <vt:variant>
        <vt:i4>0</vt:i4>
      </vt:variant>
      <vt:variant>
        <vt:i4>5</vt:i4>
      </vt:variant>
      <vt:variant>
        <vt:lpwstr>http://trw.sdsu.edu/</vt:lpwstr>
      </vt:variant>
      <vt:variant>
        <vt:lpwstr/>
      </vt:variant>
      <vt:variant>
        <vt:i4>5373977</vt:i4>
      </vt:variant>
      <vt:variant>
        <vt:i4>15</vt:i4>
      </vt:variant>
      <vt:variant>
        <vt:i4>0</vt:i4>
      </vt:variant>
      <vt:variant>
        <vt:i4>5</vt:i4>
      </vt:variant>
      <vt:variant>
        <vt:lpwstr>http://dge1.insp.mx/salud/36/366-4s.html</vt:lpwstr>
      </vt:variant>
      <vt:variant>
        <vt:lpwstr/>
      </vt:variant>
      <vt:variant>
        <vt:i4>3604533</vt:i4>
      </vt:variant>
      <vt:variant>
        <vt:i4>12</vt:i4>
      </vt:variant>
      <vt:variant>
        <vt:i4>0</vt:i4>
      </vt:variant>
      <vt:variant>
        <vt:i4>5</vt:i4>
      </vt:variant>
      <vt:variant>
        <vt:lpwstr>http://www.inegi.gob.mx/est/default.asp?c=&amp;e=02</vt:lpwstr>
      </vt:variant>
      <vt:variant>
        <vt:lpwstr/>
      </vt:variant>
      <vt:variant>
        <vt:i4>3407912</vt:i4>
      </vt:variant>
      <vt:variant>
        <vt:i4>9</vt:i4>
      </vt:variant>
      <vt:variant>
        <vt:i4>0</vt:i4>
      </vt:variant>
      <vt:variant>
        <vt:i4>5</vt:i4>
      </vt:variant>
      <vt:variant>
        <vt:lpwstr>http://www.sandag.cog.ca.us/index.asp?classid=26&amp;fuseaction=home.classhome</vt:lpwstr>
      </vt:variant>
      <vt:variant>
        <vt:lpwstr/>
      </vt:variant>
      <vt:variant>
        <vt:i4>3473510</vt:i4>
      </vt:variant>
      <vt:variant>
        <vt:i4>6</vt:i4>
      </vt:variant>
      <vt:variant>
        <vt:i4>0</vt:i4>
      </vt:variant>
      <vt:variant>
        <vt:i4>5</vt:i4>
      </vt:variant>
      <vt:variant>
        <vt:lpwstr>http://www.sandag.cog.ca.us/ftp/html/landuse/regionalgrowth</vt:lpwstr>
      </vt:variant>
      <vt:variant>
        <vt:lpwstr/>
      </vt:variant>
      <vt:variant>
        <vt:i4>6029323</vt:i4>
      </vt:variant>
      <vt:variant>
        <vt:i4>3</vt:i4>
      </vt:variant>
      <vt:variant>
        <vt:i4>0</vt:i4>
      </vt:variant>
      <vt:variant>
        <vt:i4>5</vt:i4>
      </vt:variant>
      <vt:variant>
        <vt:lpwstr>http://www.unhabitat.org/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http://www-rohan.sdsu.edu/dept/physics/CES.html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care of comments</dc:title>
  <dc:creator>CAL</dc:creator>
  <cp:lastModifiedBy>CAL</cp:lastModifiedBy>
  <cp:revision>2</cp:revision>
  <cp:lastPrinted>2013-01-28T22:54:00Z</cp:lastPrinted>
  <dcterms:created xsi:type="dcterms:W3CDTF">2013-02-26T20:51:00Z</dcterms:created>
  <dcterms:modified xsi:type="dcterms:W3CDTF">2013-02-26T20:51:00Z</dcterms:modified>
</cp:coreProperties>
</file>